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0FD" w:rsidRDefault="002900FD">
      <w:pPr>
        <w:widowControl w:val="0"/>
        <w:pBdr>
          <w:top w:val="nil"/>
          <w:left w:val="nil"/>
          <w:bottom w:val="nil"/>
          <w:right w:val="nil"/>
          <w:between w:val="nil"/>
        </w:pBdr>
        <w:spacing w:after="0" w:line="276" w:lineRule="auto"/>
      </w:pPr>
    </w:p>
    <w:p w:rsidR="002900FD" w:rsidRDefault="00E30585">
      <w:pPr>
        <w:pStyle w:val="Title"/>
        <w:jc w:val="center"/>
        <w:rPr>
          <w:rFonts w:ascii="Calibri" w:eastAsia="Calibri" w:hAnsi="Calibri" w:cs="Calibri"/>
          <w:sz w:val="72"/>
          <w:szCs w:val="72"/>
        </w:rPr>
      </w:pPr>
      <w:bookmarkStart w:id="0" w:name="_heading=h.gjdgxs" w:colFirst="0" w:colLast="0"/>
      <w:bookmarkEnd w:id="0"/>
      <w:r>
        <w:rPr>
          <w:rFonts w:ascii="Calibri" w:eastAsia="Calibri" w:hAnsi="Calibri" w:cs="Calibri"/>
          <w:sz w:val="72"/>
          <w:szCs w:val="72"/>
        </w:rPr>
        <w:t>Staff Code of Conduct</w:t>
      </w:r>
    </w:p>
    <w:p w:rsidR="002900FD" w:rsidRDefault="00F63B27">
      <w:pPr>
        <w:pStyle w:val="Title"/>
        <w:jc w:val="center"/>
        <w:rPr>
          <w:rFonts w:ascii="Calibri" w:eastAsia="Calibri" w:hAnsi="Calibri" w:cs="Calibri"/>
          <w:sz w:val="72"/>
          <w:szCs w:val="72"/>
        </w:rPr>
      </w:pPr>
      <w:r>
        <w:rPr>
          <w:rFonts w:ascii="Calibri" w:eastAsia="Calibri" w:hAnsi="Calibri" w:cs="Calibri"/>
          <w:sz w:val="72"/>
          <w:szCs w:val="72"/>
        </w:rPr>
        <w:t xml:space="preserve"> </w:t>
      </w:r>
    </w:p>
    <w:p w:rsidR="002900FD" w:rsidRDefault="002900FD"/>
    <w:p w:rsidR="002900FD" w:rsidRDefault="002900FD"/>
    <w:p w:rsidR="002900FD" w:rsidRDefault="00E30585">
      <w:pPr>
        <w:jc w:val="center"/>
      </w:pPr>
      <w:r>
        <w:rPr>
          <w:noProof/>
          <w:lang w:val="en-GB" w:eastAsia="en-GB"/>
        </w:rPr>
        <w:drawing>
          <wp:inline distT="0" distB="0" distL="0" distR="0">
            <wp:extent cx="2971800" cy="2971800"/>
            <wp:effectExtent l="0" t="0" r="0" b="0"/>
            <wp:docPr id="11" name="image3.png" descr="C:\Users\ABrack.BARTONOFF1\OneDrive - blct.org.uk\Pictures\logo (2).png"/>
            <wp:cNvGraphicFramePr/>
            <a:graphic xmlns:a="http://schemas.openxmlformats.org/drawingml/2006/main">
              <a:graphicData uri="http://schemas.openxmlformats.org/drawingml/2006/picture">
                <pic:pic xmlns:pic="http://schemas.openxmlformats.org/drawingml/2006/picture">
                  <pic:nvPicPr>
                    <pic:cNvPr id="0" name="image3.png" descr="C:\Users\ABrack.BARTONOFF1\OneDrive - blct.org.uk\Pictures\logo (2).png"/>
                    <pic:cNvPicPr preferRelativeResize="0"/>
                  </pic:nvPicPr>
                  <pic:blipFill>
                    <a:blip r:embed="rId8"/>
                    <a:srcRect/>
                    <a:stretch>
                      <a:fillRect/>
                    </a:stretch>
                  </pic:blipFill>
                  <pic:spPr>
                    <a:xfrm>
                      <a:off x="0" y="0"/>
                      <a:ext cx="2971800" cy="2971800"/>
                    </a:xfrm>
                    <a:prstGeom prst="rect">
                      <a:avLst/>
                    </a:prstGeom>
                    <a:ln/>
                  </pic:spPr>
                </pic:pic>
              </a:graphicData>
            </a:graphic>
          </wp:inline>
        </w:drawing>
      </w:r>
    </w:p>
    <w:p w:rsidR="002900FD" w:rsidRDefault="00E30585">
      <w:pPr>
        <w:pBdr>
          <w:top w:val="nil"/>
          <w:left w:val="nil"/>
          <w:bottom w:val="nil"/>
          <w:right w:val="nil"/>
          <w:between w:val="nil"/>
        </w:pBdr>
        <w:jc w:val="center"/>
        <w:rPr>
          <w:rFonts w:ascii="Balthazar" w:eastAsia="Balthazar" w:hAnsi="Balthazar" w:cs="Balthazar"/>
          <w:b/>
          <w:color w:val="000000"/>
          <w:sz w:val="72"/>
          <w:szCs w:val="72"/>
        </w:rPr>
      </w:pPr>
      <w:r>
        <w:rPr>
          <w:rFonts w:ascii="Balthazar" w:eastAsia="Balthazar" w:hAnsi="Balthazar" w:cs="Balthazar"/>
          <w:b/>
          <w:color w:val="000000"/>
          <w:sz w:val="72"/>
          <w:szCs w:val="72"/>
        </w:rPr>
        <w:t>Let Your Light Shine</w:t>
      </w:r>
    </w:p>
    <w:p w:rsidR="002900FD" w:rsidRDefault="00E30585">
      <w:pPr>
        <w:pBdr>
          <w:top w:val="nil"/>
          <w:left w:val="nil"/>
          <w:bottom w:val="nil"/>
          <w:right w:val="nil"/>
          <w:between w:val="nil"/>
        </w:pBdr>
        <w:jc w:val="center"/>
        <w:rPr>
          <w:rFonts w:ascii="Balthazar" w:eastAsia="Balthazar" w:hAnsi="Balthazar" w:cs="Balthazar"/>
          <w:b/>
          <w:color w:val="000000"/>
          <w:sz w:val="72"/>
          <w:szCs w:val="72"/>
        </w:rPr>
      </w:pPr>
      <w:r>
        <w:rPr>
          <w:rFonts w:ascii="Balthazar" w:eastAsia="Balthazar" w:hAnsi="Balthazar" w:cs="Balthazar"/>
          <w:b/>
          <w:color w:val="000000"/>
          <w:sz w:val="72"/>
          <w:szCs w:val="72"/>
        </w:rPr>
        <w:t>Matthew 5:16</w:t>
      </w:r>
    </w:p>
    <w:p w:rsidR="002900FD" w:rsidRDefault="002900FD">
      <w:pPr>
        <w:pBdr>
          <w:top w:val="nil"/>
          <w:left w:val="nil"/>
          <w:bottom w:val="nil"/>
          <w:right w:val="nil"/>
          <w:between w:val="nil"/>
        </w:pBdr>
        <w:rPr>
          <w:rFonts w:eastAsia="Arial"/>
          <w:color w:val="000000"/>
          <w:szCs w:val="20"/>
        </w:rPr>
      </w:pPr>
    </w:p>
    <w:p w:rsidR="002900FD" w:rsidRDefault="002900FD">
      <w:pPr>
        <w:pBdr>
          <w:top w:val="nil"/>
          <w:left w:val="nil"/>
          <w:bottom w:val="nil"/>
          <w:right w:val="nil"/>
          <w:between w:val="nil"/>
        </w:pBdr>
        <w:rPr>
          <w:rFonts w:eastAsia="Arial"/>
          <w:color w:val="00CF80"/>
          <w:szCs w:val="20"/>
        </w:rPr>
      </w:pPr>
    </w:p>
    <w:p w:rsidR="002900FD" w:rsidRDefault="002900FD">
      <w:pPr>
        <w:pBdr>
          <w:top w:val="nil"/>
          <w:left w:val="nil"/>
          <w:bottom w:val="nil"/>
          <w:right w:val="nil"/>
          <w:between w:val="nil"/>
        </w:pBdr>
        <w:rPr>
          <w:rFonts w:eastAsia="Arial"/>
          <w:color w:val="00CF80"/>
          <w:szCs w:val="20"/>
        </w:rPr>
      </w:pPr>
    </w:p>
    <w:p w:rsidR="002900FD" w:rsidRDefault="002900FD">
      <w:pPr>
        <w:pBdr>
          <w:top w:val="nil"/>
          <w:left w:val="nil"/>
          <w:bottom w:val="nil"/>
          <w:right w:val="nil"/>
          <w:between w:val="nil"/>
        </w:pBdr>
        <w:rPr>
          <w:rFonts w:eastAsia="Arial"/>
          <w:color w:val="000000"/>
          <w:szCs w:val="20"/>
        </w:rPr>
      </w:pPr>
    </w:p>
    <w:p w:rsidR="002900FD" w:rsidRDefault="002900FD">
      <w:pPr>
        <w:pBdr>
          <w:top w:val="nil"/>
          <w:left w:val="nil"/>
          <w:bottom w:val="nil"/>
          <w:right w:val="nil"/>
          <w:between w:val="nil"/>
        </w:pBdr>
        <w:rPr>
          <w:rFonts w:eastAsia="Arial"/>
          <w:color w:val="000000"/>
          <w:szCs w:val="20"/>
        </w:rPr>
      </w:pPr>
    </w:p>
    <w:p w:rsidR="002900FD" w:rsidRDefault="002900FD">
      <w:pPr>
        <w:rPr>
          <w:b/>
        </w:rPr>
      </w:pPr>
    </w:p>
    <w:tbl>
      <w:tblPr>
        <w:tblStyle w:val="a"/>
        <w:tblW w:w="9720" w:type="dxa"/>
        <w:tblInd w:w="108" w:type="dxa"/>
        <w:tblBorders>
          <w:insideH w:val="single" w:sz="18" w:space="0" w:color="FFFFFF"/>
        </w:tblBorders>
        <w:tblLayout w:type="fixed"/>
        <w:tblLook w:val="0400" w:firstRow="0" w:lastRow="0" w:firstColumn="0" w:lastColumn="0" w:noHBand="0" w:noVBand="1"/>
      </w:tblPr>
      <w:tblGrid>
        <w:gridCol w:w="2586"/>
        <w:gridCol w:w="3268"/>
        <w:gridCol w:w="3866"/>
      </w:tblGrid>
      <w:tr w:rsidR="002900FD">
        <w:trPr>
          <w:trHeight w:val="724"/>
        </w:trPr>
        <w:tc>
          <w:tcPr>
            <w:tcW w:w="2586" w:type="dxa"/>
            <w:tcBorders>
              <w:top w:val="nil"/>
              <w:bottom w:val="single" w:sz="18" w:space="0" w:color="FFFFFF"/>
            </w:tcBorders>
            <w:shd w:val="clear" w:color="auto" w:fill="D8DFDE"/>
          </w:tcPr>
          <w:p w:rsidR="002900FD" w:rsidRDefault="00E30585">
            <w:pPr>
              <w:pBdr>
                <w:top w:val="nil"/>
                <w:left w:val="nil"/>
                <w:bottom w:val="nil"/>
                <w:right w:val="nil"/>
                <w:between w:val="nil"/>
              </w:pBdr>
              <w:rPr>
                <w:rFonts w:eastAsia="Arial"/>
                <w:b/>
                <w:color w:val="000000"/>
                <w:szCs w:val="20"/>
              </w:rPr>
            </w:pPr>
            <w:r>
              <w:rPr>
                <w:rFonts w:eastAsia="Arial"/>
                <w:b/>
                <w:color w:val="000000"/>
                <w:szCs w:val="20"/>
              </w:rPr>
              <w:t>Approved by governing board:</w:t>
            </w:r>
          </w:p>
        </w:tc>
        <w:tc>
          <w:tcPr>
            <w:tcW w:w="3268" w:type="dxa"/>
            <w:tcBorders>
              <w:top w:val="nil"/>
              <w:bottom w:val="single" w:sz="18" w:space="0" w:color="FFFFFF"/>
            </w:tcBorders>
            <w:shd w:val="clear" w:color="auto" w:fill="D8DFDE"/>
          </w:tcPr>
          <w:p w:rsidR="002900FD" w:rsidRDefault="002900FD">
            <w:pPr>
              <w:pBdr>
                <w:top w:val="nil"/>
                <w:left w:val="nil"/>
                <w:bottom w:val="nil"/>
                <w:right w:val="nil"/>
                <w:between w:val="nil"/>
              </w:pBdr>
              <w:ind w:right="850"/>
              <w:rPr>
                <w:rFonts w:eastAsia="Arial"/>
                <w:color w:val="000000"/>
                <w:sz w:val="22"/>
                <w:szCs w:val="22"/>
                <w:highlight w:val="yellow"/>
              </w:rPr>
            </w:pPr>
          </w:p>
        </w:tc>
        <w:tc>
          <w:tcPr>
            <w:tcW w:w="3866" w:type="dxa"/>
            <w:tcBorders>
              <w:top w:val="nil"/>
              <w:bottom w:val="single" w:sz="18" w:space="0" w:color="FFFFFF"/>
            </w:tcBorders>
            <w:shd w:val="clear" w:color="auto" w:fill="D8DFDE"/>
          </w:tcPr>
          <w:p w:rsidR="002900FD" w:rsidRDefault="00E30585">
            <w:pPr>
              <w:pBdr>
                <w:top w:val="nil"/>
                <w:left w:val="nil"/>
                <w:bottom w:val="nil"/>
                <w:right w:val="nil"/>
                <w:between w:val="nil"/>
              </w:pBdr>
              <w:ind w:right="850"/>
              <w:rPr>
                <w:rFonts w:eastAsia="Arial"/>
                <w:color w:val="000000"/>
                <w:sz w:val="22"/>
                <w:szCs w:val="22"/>
              </w:rPr>
            </w:pPr>
            <w:r>
              <w:rPr>
                <w:rFonts w:eastAsia="Arial"/>
                <w:b/>
                <w:color w:val="000000"/>
                <w:sz w:val="22"/>
                <w:szCs w:val="22"/>
              </w:rPr>
              <w:t>Date:</w:t>
            </w:r>
            <w:r w:rsidR="005C4E7E">
              <w:rPr>
                <w:rFonts w:eastAsia="Arial"/>
                <w:color w:val="000000"/>
                <w:sz w:val="22"/>
                <w:szCs w:val="22"/>
              </w:rPr>
              <w:t xml:space="preserve">  September 2026</w:t>
            </w:r>
          </w:p>
        </w:tc>
      </w:tr>
      <w:tr w:rsidR="002900FD">
        <w:tc>
          <w:tcPr>
            <w:tcW w:w="2586" w:type="dxa"/>
            <w:tcBorders>
              <w:top w:val="single" w:sz="18" w:space="0" w:color="FFFFFF"/>
              <w:bottom w:val="nil"/>
            </w:tcBorders>
            <w:shd w:val="clear" w:color="auto" w:fill="D8DFDE"/>
          </w:tcPr>
          <w:p w:rsidR="002900FD" w:rsidRDefault="00E30585">
            <w:pPr>
              <w:pBdr>
                <w:top w:val="nil"/>
                <w:left w:val="nil"/>
                <w:bottom w:val="nil"/>
                <w:right w:val="nil"/>
                <w:between w:val="nil"/>
              </w:pBdr>
              <w:rPr>
                <w:rFonts w:eastAsia="Arial"/>
                <w:b/>
                <w:color w:val="000000"/>
                <w:szCs w:val="20"/>
              </w:rPr>
            </w:pPr>
            <w:r>
              <w:rPr>
                <w:rFonts w:eastAsia="Arial"/>
                <w:b/>
                <w:color w:val="000000"/>
                <w:szCs w:val="20"/>
              </w:rPr>
              <w:t>Next review due by:</w:t>
            </w:r>
          </w:p>
        </w:tc>
        <w:tc>
          <w:tcPr>
            <w:tcW w:w="7134" w:type="dxa"/>
            <w:gridSpan w:val="2"/>
            <w:tcBorders>
              <w:top w:val="single" w:sz="18" w:space="0" w:color="FFFFFF"/>
              <w:bottom w:val="nil"/>
            </w:tcBorders>
            <w:shd w:val="clear" w:color="auto" w:fill="D8DFDE"/>
          </w:tcPr>
          <w:p w:rsidR="002900FD" w:rsidRDefault="00E30585">
            <w:pPr>
              <w:pBdr>
                <w:top w:val="nil"/>
                <w:left w:val="nil"/>
                <w:bottom w:val="nil"/>
                <w:right w:val="nil"/>
                <w:between w:val="nil"/>
              </w:pBdr>
              <w:ind w:right="850"/>
              <w:rPr>
                <w:rFonts w:eastAsia="Arial"/>
                <w:color w:val="000000"/>
                <w:sz w:val="22"/>
                <w:szCs w:val="22"/>
                <w:highlight w:val="yellow"/>
              </w:rPr>
            </w:pPr>
            <w:r>
              <w:rPr>
                <w:rFonts w:eastAsia="Arial"/>
                <w:color w:val="000000"/>
                <w:sz w:val="22"/>
                <w:szCs w:val="22"/>
              </w:rPr>
              <w:t>Autumn 202</w:t>
            </w:r>
            <w:r w:rsidR="005C4E7E">
              <w:rPr>
                <w:sz w:val="22"/>
                <w:szCs w:val="22"/>
              </w:rPr>
              <w:t xml:space="preserve">7 </w:t>
            </w:r>
            <w:bookmarkStart w:id="1" w:name="_GoBack"/>
            <w:bookmarkEnd w:id="1"/>
            <w:r>
              <w:rPr>
                <w:rFonts w:eastAsia="Arial"/>
                <w:color w:val="000000"/>
                <w:sz w:val="22"/>
                <w:szCs w:val="22"/>
              </w:rPr>
              <w:t>or earlier in-line with legislation changes</w:t>
            </w:r>
          </w:p>
        </w:tc>
      </w:tr>
    </w:tbl>
    <w:p w:rsidR="002900FD" w:rsidRDefault="002900FD"/>
    <w:p w:rsidR="002900FD" w:rsidRDefault="00E30585">
      <w:pPr>
        <w:keepNext/>
        <w:keepLines/>
        <w:pBdr>
          <w:top w:val="nil"/>
          <w:left w:val="nil"/>
          <w:bottom w:val="nil"/>
          <w:right w:val="nil"/>
          <w:between w:val="nil"/>
        </w:pBdr>
        <w:spacing w:line="259" w:lineRule="auto"/>
        <w:rPr>
          <w:rFonts w:eastAsia="Arial"/>
          <w:b/>
          <w:color w:val="0D1C2F"/>
          <w:sz w:val="28"/>
          <w:szCs w:val="28"/>
        </w:rPr>
      </w:pPr>
      <w:r>
        <w:rPr>
          <w:rFonts w:eastAsia="Arial"/>
          <w:b/>
          <w:color w:val="0D1C2F"/>
          <w:sz w:val="28"/>
          <w:szCs w:val="28"/>
        </w:rPr>
        <w:lastRenderedPageBreak/>
        <w:t>Contents</w:t>
      </w:r>
    </w:p>
    <w:sdt>
      <w:sdtPr>
        <w:id w:val="684635778"/>
        <w:docPartObj>
          <w:docPartGallery w:val="Table of Contents"/>
          <w:docPartUnique/>
        </w:docPartObj>
      </w:sdtPr>
      <w:sdtEndPr/>
      <w:sdtContent>
        <w:p w:rsidR="002900FD" w:rsidRDefault="00E30585">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Pr>
                <w:rFonts w:eastAsia="Arial"/>
                <w:color w:val="000000"/>
                <w:szCs w:val="20"/>
              </w:rPr>
              <w:t>1. Aims, scope and principles</w:t>
            </w:r>
            <w:r>
              <w:rPr>
                <w:rFonts w:eastAsia="Arial"/>
                <w:color w:val="000000"/>
                <w:szCs w:val="20"/>
              </w:rPr>
              <w:tab/>
              <w:t>3</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fob9te">
            <w:r w:rsidR="00E30585">
              <w:rPr>
                <w:rFonts w:eastAsia="Arial"/>
                <w:color w:val="000000"/>
                <w:szCs w:val="20"/>
              </w:rPr>
              <w:t>2. Legislation and guidance</w:t>
            </w:r>
            <w:r w:rsidR="00E30585">
              <w:rPr>
                <w:rFonts w:eastAsia="Arial"/>
                <w:color w:val="000000"/>
                <w:szCs w:val="20"/>
              </w:rPr>
              <w:tab/>
              <w:t>3</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et92p0">
            <w:r w:rsidR="00E30585">
              <w:rPr>
                <w:rFonts w:eastAsia="Arial"/>
                <w:color w:val="000000"/>
                <w:szCs w:val="20"/>
              </w:rPr>
              <w:t>3. General obligations</w:t>
            </w:r>
            <w:r w:rsidR="00E30585">
              <w:rPr>
                <w:rFonts w:eastAsia="Arial"/>
                <w:color w:val="000000"/>
                <w:szCs w:val="20"/>
              </w:rPr>
              <w:tab/>
              <w:t>4</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tyjcwt">
            <w:r w:rsidR="00E30585">
              <w:rPr>
                <w:rFonts w:eastAsia="Arial"/>
                <w:color w:val="000000"/>
                <w:szCs w:val="20"/>
              </w:rPr>
              <w:t>4. Safeguarding</w:t>
            </w:r>
            <w:r w:rsidR="00E30585">
              <w:rPr>
                <w:rFonts w:eastAsia="Arial"/>
                <w:color w:val="000000"/>
                <w:szCs w:val="20"/>
              </w:rPr>
              <w:tab/>
              <w:t>4</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dy6vkm">
            <w:r w:rsidR="00E30585">
              <w:rPr>
                <w:rFonts w:eastAsia="Arial"/>
                <w:color w:val="000000"/>
                <w:szCs w:val="20"/>
              </w:rPr>
              <w:t>5. Staff-pupil relationships</w:t>
            </w:r>
            <w:r w:rsidR="00E30585">
              <w:rPr>
                <w:rFonts w:eastAsia="Arial"/>
                <w:color w:val="000000"/>
                <w:szCs w:val="20"/>
              </w:rPr>
              <w:tab/>
              <w:t>6</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t3h5sf">
            <w:r w:rsidR="00E30585">
              <w:rPr>
                <w:rFonts w:eastAsia="Arial"/>
                <w:color w:val="000000"/>
                <w:szCs w:val="20"/>
              </w:rPr>
              <w:t>6. Communication and social media</w:t>
            </w:r>
            <w:r w:rsidR="00E30585">
              <w:rPr>
                <w:rFonts w:eastAsia="Arial"/>
                <w:color w:val="000000"/>
                <w:szCs w:val="20"/>
              </w:rPr>
              <w:tab/>
              <w:t>6</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4d34og8">
            <w:r w:rsidR="00E30585">
              <w:rPr>
                <w:rFonts w:eastAsia="Arial"/>
                <w:color w:val="000000"/>
                <w:szCs w:val="20"/>
              </w:rPr>
              <w:t>7. Acceptable use of technology</w:t>
            </w:r>
            <w:r w:rsidR="00E30585">
              <w:rPr>
                <w:rFonts w:eastAsia="Arial"/>
                <w:color w:val="000000"/>
                <w:szCs w:val="20"/>
              </w:rPr>
              <w:tab/>
              <w:t>6</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s8eyo1">
            <w:r w:rsidR="00E30585">
              <w:rPr>
                <w:rFonts w:eastAsia="Arial"/>
                <w:color w:val="000000"/>
                <w:szCs w:val="20"/>
              </w:rPr>
              <w:t>8. Confidentiality</w:t>
            </w:r>
            <w:r w:rsidR="00E30585">
              <w:rPr>
                <w:rFonts w:eastAsia="Arial"/>
                <w:color w:val="000000"/>
                <w:szCs w:val="20"/>
              </w:rPr>
              <w:tab/>
              <w:t>7</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7dp8vu">
            <w:r w:rsidR="00E30585">
              <w:rPr>
                <w:rFonts w:eastAsia="Arial"/>
                <w:color w:val="000000"/>
                <w:szCs w:val="20"/>
              </w:rPr>
              <w:t>9. Honesty and integrity</w:t>
            </w:r>
            <w:r w:rsidR="00E30585">
              <w:rPr>
                <w:rFonts w:eastAsia="Arial"/>
                <w:color w:val="000000"/>
                <w:szCs w:val="20"/>
              </w:rPr>
              <w:tab/>
              <w:t>7</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rdcrjn">
            <w:r w:rsidR="00E30585">
              <w:rPr>
                <w:rFonts w:eastAsia="Arial"/>
                <w:color w:val="000000"/>
                <w:szCs w:val="20"/>
              </w:rPr>
              <w:t>10. Dress code</w:t>
            </w:r>
            <w:r w:rsidR="00E30585">
              <w:rPr>
                <w:rFonts w:eastAsia="Arial"/>
                <w:color w:val="000000"/>
                <w:szCs w:val="20"/>
              </w:rPr>
              <w:tab/>
              <w:t>7</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6in1rg">
            <w:r w:rsidR="00E30585">
              <w:rPr>
                <w:rFonts w:eastAsia="Arial"/>
                <w:color w:val="000000"/>
                <w:szCs w:val="20"/>
              </w:rPr>
              <w:t>11. Conduct outside of work</w:t>
            </w:r>
            <w:r w:rsidR="00E30585">
              <w:rPr>
                <w:rFonts w:eastAsia="Arial"/>
                <w:color w:val="000000"/>
                <w:szCs w:val="20"/>
              </w:rPr>
              <w:tab/>
              <w:t>7</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lnxbz9">
            <w:r w:rsidR="00E30585">
              <w:rPr>
                <w:rFonts w:eastAsia="Arial"/>
                <w:color w:val="000000"/>
                <w:szCs w:val="20"/>
              </w:rPr>
              <w:t>12. Monitoring arrangements</w:t>
            </w:r>
            <w:r w:rsidR="00E30585">
              <w:rPr>
                <w:rFonts w:eastAsia="Arial"/>
                <w:color w:val="000000"/>
                <w:szCs w:val="20"/>
              </w:rPr>
              <w:tab/>
              <w:t>8</w:t>
            </w:r>
          </w:hyperlink>
        </w:p>
        <w:p w:rsidR="002900FD" w:rsidRDefault="001C6E2A">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5nkun2">
            <w:r w:rsidR="00E30585">
              <w:rPr>
                <w:rFonts w:eastAsia="Arial"/>
                <w:color w:val="000000"/>
                <w:szCs w:val="20"/>
              </w:rPr>
              <w:t>13. Links with other policies</w:t>
            </w:r>
            <w:r w:rsidR="00E30585">
              <w:rPr>
                <w:rFonts w:eastAsia="Arial"/>
                <w:color w:val="000000"/>
                <w:szCs w:val="20"/>
              </w:rPr>
              <w:tab/>
              <w:t>8</w:t>
            </w:r>
          </w:hyperlink>
        </w:p>
        <w:p w:rsidR="002900FD" w:rsidRDefault="00E30585">
          <w:pPr>
            <w:pBdr>
              <w:top w:val="nil"/>
              <w:left w:val="nil"/>
              <w:bottom w:val="nil"/>
              <w:right w:val="nil"/>
              <w:between w:val="nil"/>
            </w:pBdr>
            <w:rPr>
              <w:rFonts w:eastAsia="Arial"/>
              <w:color w:val="000000"/>
              <w:szCs w:val="20"/>
            </w:rPr>
          </w:pPr>
          <w:r>
            <w:fldChar w:fldCharType="end"/>
          </w:r>
        </w:p>
      </w:sdtContent>
    </w:sdt>
    <w:p w:rsidR="002900FD" w:rsidRDefault="00E30585">
      <w:pPr>
        <w:pBdr>
          <w:top w:val="nil"/>
          <w:left w:val="nil"/>
          <w:bottom w:val="nil"/>
          <w:right w:val="nil"/>
          <w:between w:val="nil"/>
        </w:pBdr>
        <w:rPr>
          <w:rFonts w:eastAsia="Arial"/>
          <w:color w:val="000000"/>
          <w:szCs w:val="20"/>
        </w:rPr>
      </w:pPr>
      <w:r>
        <w:rPr>
          <w:noProof/>
          <w:lang w:val="en-GB" w:eastAsia="en-GB"/>
        </w:rPr>
        <mc:AlternateContent>
          <mc:Choice Requires="wps">
            <w:drawing>
              <wp:anchor distT="4294967294" distB="4294967294" distL="114300" distR="114300" simplePos="0" relativeHeight="251658240" behindDoc="0" locked="0" layoutInCell="1" hidden="0" allowOverlap="1">
                <wp:simplePos x="0" y="0"/>
                <wp:positionH relativeFrom="column">
                  <wp:posOffset>1</wp:posOffset>
                </wp:positionH>
                <wp:positionV relativeFrom="paragraph">
                  <wp:posOffset>5095</wp:posOffset>
                </wp:positionV>
                <wp:extent cx="0" cy="12700"/>
                <wp:effectExtent l="0" t="0" r="0" b="0"/>
                <wp:wrapNone/>
                <wp:docPr id="10" name="Straight Arrow Connector 10"/>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cx1="http://schemas.microsoft.com/office/drawing/2015/9/8/chartex">
            <w:drawing>
              <wp:anchor allowOverlap="1" behindDoc="0" distB="4294967294" distT="4294967294" distL="114300" distR="114300" hidden="0" layoutInCell="1" locked="0" relativeHeight="0" simplePos="0">
                <wp:simplePos x="0" y="0"/>
                <wp:positionH relativeFrom="column">
                  <wp:posOffset>1</wp:posOffset>
                </wp:positionH>
                <wp:positionV relativeFrom="paragraph">
                  <wp:posOffset>5095</wp:posOffset>
                </wp:positionV>
                <wp:extent cx="0" cy="12700"/>
                <wp:effectExtent b="0" l="0" r="0" t="0"/>
                <wp:wrapNone/>
                <wp:docPr id="1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2900FD" w:rsidRDefault="00E30585">
      <w:pPr>
        <w:pStyle w:val="Heading1"/>
        <w:rPr>
          <w:color w:val="2E75B5"/>
        </w:rPr>
      </w:pPr>
      <w:bookmarkStart w:id="2" w:name="_heading=h.30j0zll" w:colFirst="0" w:colLast="0"/>
      <w:bookmarkEnd w:id="2"/>
      <w:r>
        <w:rPr>
          <w:color w:val="2E75B5"/>
        </w:rPr>
        <w:t>1. Aims, scope and principles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This policy aims to set and maintain standards of conduct that we expect all staff to follow.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By creating this policy, we aim to ensure our school is an environment where everyone is safe, happy and treated with respect.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Many of the principles in this code of conduct are based on the </w:t>
      </w:r>
      <w:hyperlink r:id="rId10">
        <w:r>
          <w:rPr>
            <w:rFonts w:eastAsia="Arial"/>
            <w:color w:val="0072CC"/>
            <w:szCs w:val="20"/>
            <w:u w:val="single"/>
          </w:rPr>
          <w:t>Teachers’ Standards</w:t>
        </w:r>
      </w:hyperlink>
      <w:r>
        <w:rPr>
          <w:rFonts w:eastAsia="Arial"/>
          <w:color w:val="000000"/>
          <w:szCs w:val="20"/>
        </w:rPr>
        <w:t>.</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School staff have an influential position in the school and its community and will act as role models for pupils by consistently demonstrating high standards of behaviour.</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We expect that all teachers will act in accordance with the personal and professional behaviours set out in the Teachers’ Standards.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We expect all support staff, governors and volunteers to also act with personal and professional integrity, respecting the safety and wellbeing of others.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We expect all staff to promote our Christian Vision and uphold our chosen Christian Values of Trust, Thankfulness, Friendship, Forgiveness and Compassion</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Failure to follow the code of conduct </w:t>
      </w:r>
      <w:r>
        <w:rPr>
          <w:rFonts w:eastAsia="Arial"/>
          <w:b/>
          <w:color w:val="000000"/>
          <w:szCs w:val="20"/>
        </w:rPr>
        <w:t>may</w:t>
      </w:r>
      <w:r>
        <w:rPr>
          <w:rFonts w:eastAsia="Arial"/>
          <w:color w:val="000000"/>
          <w:szCs w:val="20"/>
        </w:rPr>
        <w:t xml:space="preserve"> result in disciplinary action being taken, as set out in North Lincolnshire staff disciplinary procedures.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Please note that this code of conduct is not exhaustive. If situations arise that are not covered by this code, staff will use their professional judgement and act in the best interests of the school and its pupils. </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3" w:name="_heading=h.1fob9te" w:colFirst="0" w:colLast="0"/>
      <w:bookmarkEnd w:id="3"/>
      <w:r>
        <w:rPr>
          <w:color w:val="2E75B5"/>
        </w:rPr>
        <w:t>2. Legislation and guidance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We are required to establish procedures for the regulation of staff conduct under regulation 7 of </w:t>
      </w:r>
      <w:hyperlink r:id="rId11">
        <w:r>
          <w:rPr>
            <w:rFonts w:eastAsia="Arial"/>
            <w:color w:val="0072CC"/>
            <w:szCs w:val="20"/>
            <w:u w:val="single"/>
          </w:rPr>
          <w:t>The School Staffing (England) Regulations 2009</w:t>
        </w:r>
      </w:hyperlink>
      <w:r>
        <w:rPr>
          <w:rFonts w:eastAsia="Arial"/>
          <w:color w:val="000000"/>
          <w:szCs w:val="20"/>
        </w:rPr>
        <w:t xml:space="preserve">. </w:t>
      </w:r>
    </w:p>
    <w:p w:rsidR="002900FD" w:rsidRDefault="00E30585">
      <w:pPr>
        <w:pBdr>
          <w:top w:val="nil"/>
          <w:left w:val="nil"/>
          <w:bottom w:val="nil"/>
          <w:right w:val="nil"/>
          <w:between w:val="nil"/>
        </w:pBdr>
        <w:rPr>
          <w:rFonts w:eastAsia="Arial"/>
          <w:color w:val="000000"/>
          <w:szCs w:val="20"/>
        </w:rPr>
      </w:pPr>
      <w:bookmarkStart w:id="4" w:name="_heading=h.3znysh7" w:colFirst="0" w:colLast="0"/>
      <w:bookmarkEnd w:id="4"/>
      <w:r>
        <w:rPr>
          <w:rFonts w:eastAsia="Arial"/>
          <w:color w:val="000000"/>
          <w:szCs w:val="20"/>
        </w:rPr>
        <w:t xml:space="preserve">In line with the statutory safeguarding guidance </w:t>
      </w:r>
      <w:hyperlink r:id="rId12">
        <w:r>
          <w:rPr>
            <w:rFonts w:eastAsia="Arial"/>
            <w:color w:val="0072CC"/>
            <w:szCs w:val="20"/>
            <w:u w:val="single"/>
          </w:rPr>
          <w:t>Keeping Children Safe in Education</w:t>
        </w:r>
      </w:hyperlink>
      <w:r>
        <w:rPr>
          <w:rFonts w:eastAsia="Arial"/>
          <w:color w:val="000000"/>
          <w:szCs w:val="20"/>
        </w:rPr>
        <w:t>, we should have a staff code of conduct, which should cover low-level concerns, allegations against staff and whistle-blowing, as well as acceptable use of technologies (including the use of mobile devices), staff/pupil relationships and communications, including the use of social media.</w:t>
      </w:r>
    </w:p>
    <w:p w:rsidR="002900FD" w:rsidRDefault="002900FD"/>
    <w:p w:rsidR="002900FD" w:rsidRDefault="00E30585">
      <w:pPr>
        <w:pStyle w:val="Heading1"/>
        <w:rPr>
          <w:color w:val="2E75B5"/>
        </w:rPr>
      </w:pPr>
      <w:bookmarkStart w:id="5" w:name="_heading=h.2et92p0" w:colFirst="0" w:colLast="0"/>
      <w:bookmarkEnd w:id="5"/>
      <w:r>
        <w:rPr>
          <w:color w:val="2E75B5"/>
        </w:rPr>
        <w:lastRenderedPageBreak/>
        <w:t>3. General obligations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set an example to pupils. They will:</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Maintain high standards in their attendance and punctuality</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Never use inappropriate or offensive language in school</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Treat pupils and others with dignity and respect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Show tolerance and respect for the rights of others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Not undermine fundamental British values, including democracy, the rule of law, individual liberty, and mutual respect and tolerance of those with different faiths and beliefs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Not express personal beliefs in a way that exploits pupils’ vulnerability or might lead them to break the law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Understand the statutory frameworks they must act within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Adhere to the Teachers’ Standards </w:t>
      </w:r>
    </w:p>
    <w:p w:rsidR="002900FD" w:rsidRDefault="002900FD">
      <w:pPr>
        <w:pBdr>
          <w:top w:val="nil"/>
          <w:left w:val="nil"/>
          <w:bottom w:val="nil"/>
          <w:right w:val="nil"/>
          <w:between w:val="nil"/>
        </w:pBdr>
        <w:rPr>
          <w:rFonts w:eastAsia="Arial"/>
          <w:color w:val="2E75B5"/>
          <w:szCs w:val="20"/>
        </w:rPr>
      </w:pPr>
    </w:p>
    <w:p w:rsidR="002900FD" w:rsidRDefault="00E30585">
      <w:pPr>
        <w:pStyle w:val="Heading1"/>
        <w:rPr>
          <w:color w:val="2E75B5"/>
        </w:rPr>
      </w:pPr>
      <w:bookmarkStart w:id="6" w:name="_heading=h.tyjcwt" w:colFirst="0" w:colLast="0"/>
      <w:bookmarkEnd w:id="6"/>
      <w:r>
        <w:rPr>
          <w:color w:val="2E75B5"/>
        </w:rPr>
        <w:t>4. Safeguarding</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have a duty to safeguard pupils from harm, and to report any concerns they have. This includes physical, emotional and sexual abuse, and neglect.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familiarise themselves with our child protection and safeguarding policy and procedures, and the Prevent initiative, and ensure they are aware of the processes to follow if they have concerns about a child.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Our child protection and safeguarding policy and procedures are available on the school website. All staff will be given a digital copy every September and new staff will receive a copy on appointment,</w:t>
      </w:r>
    </w:p>
    <w:p w:rsidR="002900FD" w:rsidRDefault="00E30585">
      <w:pPr>
        <w:pBdr>
          <w:top w:val="nil"/>
          <w:left w:val="nil"/>
          <w:bottom w:val="nil"/>
          <w:right w:val="nil"/>
          <w:between w:val="nil"/>
        </w:pBdr>
        <w:spacing w:before="240"/>
        <w:rPr>
          <w:rFonts w:eastAsia="Arial"/>
          <w:b/>
          <w:color w:val="2E75B5"/>
          <w:sz w:val="24"/>
        </w:rPr>
      </w:pPr>
      <w:r>
        <w:rPr>
          <w:rFonts w:eastAsia="Arial"/>
          <w:b/>
          <w:color w:val="2E75B5"/>
          <w:sz w:val="24"/>
        </w:rPr>
        <w:t xml:space="preserve">4.1 Allegations that may meet the harm threshold </w:t>
      </w:r>
    </w:p>
    <w:p w:rsidR="002900FD" w:rsidRDefault="00E30585">
      <w:r>
        <w:t>This section applies to all cases in which it is alleged that anyone working in the school, including a supply teacher, volunteer or contractor, has:</w:t>
      </w:r>
    </w:p>
    <w:p w:rsidR="002900FD" w:rsidRDefault="00E30585">
      <w:pPr>
        <w:numPr>
          <w:ilvl w:val="0"/>
          <w:numId w:val="1"/>
        </w:numPr>
        <w:pBdr>
          <w:top w:val="nil"/>
          <w:left w:val="nil"/>
          <w:bottom w:val="nil"/>
          <w:right w:val="nil"/>
          <w:between w:val="nil"/>
        </w:pBdr>
      </w:pPr>
      <w:r>
        <w:rPr>
          <w:rFonts w:eastAsia="Arial"/>
          <w:color w:val="000000"/>
          <w:szCs w:val="20"/>
        </w:rPr>
        <w:t xml:space="preserve">Behaved in a way that has harmed a child, or may have harmed a child, and/or </w:t>
      </w:r>
    </w:p>
    <w:p w:rsidR="002900FD" w:rsidRDefault="00E30585">
      <w:pPr>
        <w:numPr>
          <w:ilvl w:val="0"/>
          <w:numId w:val="1"/>
        </w:numPr>
        <w:pBdr>
          <w:top w:val="nil"/>
          <w:left w:val="nil"/>
          <w:bottom w:val="nil"/>
          <w:right w:val="nil"/>
          <w:between w:val="nil"/>
        </w:pBdr>
      </w:pPr>
      <w:r>
        <w:rPr>
          <w:rFonts w:eastAsia="Arial"/>
          <w:color w:val="000000"/>
          <w:szCs w:val="20"/>
        </w:rPr>
        <w:t>Possibly committed a criminal offence against or related to a child, and/or</w:t>
      </w:r>
    </w:p>
    <w:p w:rsidR="002900FD" w:rsidRDefault="00E30585">
      <w:pPr>
        <w:numPr>
          <w:ilvl w:val="0"/>
          <w:numId w:val="1"/>
        </w:numPr>
        <w:pBdr>
          <w:top w:val="nil"/>
          <w:left w:val="nil"/>
          <w:bottom w:val="nil"/>
          <w:right w:val="nil"/>
          <w:between w:val="nil"/>
        </w:pBdr>
      </w:pPr>
      <w:r>
        <w:rPr>
          <w:rFonts w:eastAsia="Arial"/>
          <w:color w:val="000000"/>
          <w:szCs w:val="20"/>
        </w:rPr>
        <w:t>Behaved towards a child or children in a way that indicates they may pose a risk of harm to children, and/or </w:t>
      </w:r>
    </w:p>
    <w:p w:rsidR="002900FD" w:rsidRDefault="00E30585">
      <w:pPr>
        <w:numPr>
          <w:ilvl w:val="0"/>
          <w:numId w:val="1"/>
        </w:numPr>
        <w:pBdr>
          <w:top w:val="nil"/>
          <w:left w:val="nil"/>
          <w:bottom w:val="nil"/>
          <w:right w:val="nil"/>
          <w:between w:val="nil"/>
        </w:pBdr>
      </w:pPr>
      <w:r>
        <w:rPr>
          <w:rFonts w:eastAsia="Arial"/>
          <w:color w:val="000000"/>
          <w:szCs w:val="20"/>
        </w:rPr>
        <w:t xml:space="preserve">Behaved or may have behaved in a way that indicates they may not be suitable to work with children – this includes behaviour taking place inside and outside of school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We will deal with any such allegation quickly and in a fair and consistent way that provides effective child protection while also supporting the individual who is the subject of the allegation. </w:t>
      </w:r>
    </w:p>
    <w:p w:rsidR="002900FD" w:rsidRDefault="00E30585">
      <w:pPr>
        <w:pBdr>
          <w:top w:val="nil"/>
          <w:left w:val="nil"/>
          <w:bottom w:val="nil"/>
          <w:right w:val="nil"/>
          <w:between w:val="nil"/>
        </w:pBdr>
        <w:rPr>
          <w:rFonts w:eastAsia="Arial"/>
          <w:color w:val="000000"/>
          <w:szCs w:val="20"/>
          <w:u w:val="single"/>
        </w:rPr>
      </w:pPr>
      <w:r>
        <w:rPr>
          <w:rFonts w:eastAsia="Arial"/>
          <w:color w:val="000000"/>
          <w:szCs w:val="20"/>
        </w:rPr>
        <w:t xml:space="preserve">A ‘case manager’ will lead any investigation. This will be the headteacher, or the chair of governors where the headteacher is the subject of the allegation. </w:t>
      </w:r>
    </w:p>
    <w:p w:rsidR="002900FD" w:rsidRDefault="00E30585">
      <w:pPr>
        <w:pBdr>
          <w:top w:val="nil"/>
          <w:left w:val="nil"/>
          <w:bottom w:val="nil"/>
          <w:right w:val="nil"/>
          <w:between w:val="nil"/>
        </w:pBdr>
        <w:spacing w:before="240"/>
        <w:rPr>
          <w:rFonts w:eastAsia="Arial"/>
          <w:b/>
          <w:color w:val="2E75B5"/>
          <w:sz w:val="24"/>
        </w:rPr>
      </w:pPr>
      <w:r>
        <w:rPr>
          <w:rFonts w:eastAsia="Arial"/>
          <w:b/>
          <w:color w:val="2E75B5"/>
          <w:sz w:val="24"/>
        </w:rPr>
        <w:t xml:space="preserve">4.2 Low-level concerns about members of staff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A low-level concern is a behaviour towards a child by a member of staff that does not meet the harm threshold and/or is inconsistent with the staff code of conduct, and may be as simple as causing a sense of unease or a ‘nagging doubt’. For example, this may include:</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Being over-friendly with children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Having favourites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Taking photographs of children on a personal device</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Engaging in 1-to-1 activities where they can’t easily be seen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Humiliating pupils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lastRenderedPageBreak/>
        <w:t>Inappropriate use of social media</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Low-level concerns can include inappropriate conduct inside and </w:t>
      </w:r>
      <w:r>
        <w:rPr>
          <w:rFonts w:eastAsia="Arial"/>
          <w:b/>
          <w:color w:val="000000"/>
          <w:szCs w:val="20"/>
        </w:rPr>
        <w:t>outside of work.</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All staff should share any low-level concerns they have using the reporting procedures set out in our child protection and safeguarding policy and low level concerns policy. We also encourage staff to self-refer if they find themselves in a situation that could be misinterpreted. If staff are not sure whether behaviour would be deemed a low-level concern, we encourage staff to report it.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All reports will be handled in a responsive, sensitive and proportionate way.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Unprofessional behaviour will be addressed, and the staff member supported to correct it, at an early stage.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creates and embeds a culture of openness, trust and transparency in which our values and expected behaviour are constantly lived, monitored and reinforced by all staff, while minimising the risk of abuse.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Reporting and responding to low-level concerns is covered in more detail in our child protection and safeguarding policy and in our low level concerns policy.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Our procedures for dealing with allegations will be applied with common sense and judgement.</w:t>
      </w:r>
    </w:p>
    <w:p w:rsidR="002900FD" w:rsidRDefault="00E30585">
      <w:pPr>
        <w:pBdr>
          <w:top w:val="nil"/>
          <w:left w:val="nil"/>
          <w:bottom w:val="nil"/>
          <w:right w:val="nil"/>
          <w:between w:val="nil"/>
        </w:pBdr>
        <w:spacing w:before="240"/>
        <w:rPr>
          <w:rFonts w:eastAsia="Arial"/>
          <w:b/>
          <w:color w:val="2E75B5"/>
          <w:sz w:val="24"/>
        </w:rPr>
      </w:pPr>
      <w:r>
        <w:rPr>
          <w:rFonts w:eastAsia="Arial"/>
          <w:b/>
          <w:color w:val="2E75B5"/>
          <w:sz w:val="24"/>
        </w:rPr>
        <w:t xml:space="preserve">4.3 Whistle-blowing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Whistle-blowing reports wrongdoing that it is “in the public interest” to report. Examples linked to safeguarding include:</w:t>
      </w:r>
    </w:p>
    <w:p w:rsidR="002900FD" w:rsidRDefault="00E30585">
      <w:pPr>
        <w:numPr>
          <w:ilvl w:val="0"/>
          <w:numId w:val="1"/>
        </w:numPr>
        <w:pBdr>
          <w:top w:val="nil"/>
          <w:left w:val="nil"/>
          <w:bottom w:val="nil"/>
          <w:right w:val="nil"/>
          <w:between w:val="nil"/>
        </w:pBdr>
      </w:pPr>
      <w:r>
        <w:rPr>
          <w:rFonts w:eastAsia="Arial"/>
          <w:color w:val="000000"/>
          <w:szCs w:val="20"/>
        </w:rPr>
        <w:t>Pupils’ or staff members’ health and safety being put in danger</w:t>
      </w:r>
    </w:p>
    <w:p w:rsidR="002900FD" w:rsidRDefault="00E30585">
      <w:pPr>
        <w:numPr>
          <w:ilvl w:val="0"/>
          <w:numId w:val="1"/>
        </w:numPr>
        <w:pBdr>
          <w:top w:val="nil"/>
          <w:left w:val="nil"/>
          <w:bottom w:val="nil"/>
          <w:right w:val="nil"/>
          <w:between w:val="nil"/>
        </w:pBdr>
      </w:pPr>
      <w:r>
        <w:rPr>
          <w:rFonts w:eastAsia="Arial"/>
          <w:color w:val="000000"/>
          <w:szCs w:val="20"/>
        </w:rPr>
        <w:t>Failure to comply with a legal obligation or statutory requirement</w:t>
      </w:r>
    </w:p>
    <w:p w:rsidR="002900FD" w:rsidRDefault="00E30585">
      <w:pPr>
        <w:numPr>
          <w:ilvl w:val="0"/>
          <w:numId w:val="1"/>
        </w:numPr>
        <w:pBdr>
          <w:top w:val="nil"/>
          <w:left w:val="nil"/>
          <w:bottom w:val="nil"/>
          <w:right w:val="nil"/>
          <w:between w:val="nil"/>
        </w:pBdr>
      </w:pPr>
      <w:r>
        <w:rPr>
          <w:rFonts w:eastAsia="Arial"/>
          <w:color w:val="000000"/>
          <w:szCs w:val="20"/>
        </w:rPr>
        <w:t>Attempts to cover up the above, or any other wrongdoing in the public interest</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are encouraged to report suspected wrongdoing as soon as possible. Their concerns will be taken seriously and investigated, and their confidentiality will be respected.</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consider the examples above when deciding whether their concern is of a whistle-blowing nature. Consider whether the incident(s) was illegal, breached statutory or school procedures, put people in danger or was an attempt to cover any such activity up.</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report their concern to the headteacher or chair of governors if the complaint is against the headteacher.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Concerns should be made in writing wherever possible. They should include names of those committing wrongdoing, dates, places and as much evidence and context as possible. Staff raising a concern should also include details of any personal interest in the matter.</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7" w:name="_heading=h.3dy6vkm" w:colFirst="0" w:colLast="0"/>
      <w:bookmarkEnd w:id="7"/>
      <w:r>
        <w:rPr>
          <w:color w:val="2E75B5"/>
        </w:rPr>
        <w:t>5. Staff-pupil relationships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observe proper boundaries with pupils that are appropriate to their professional position. They will act in a fair and transparent way that would not lead anyone to reasonably assume they are not doing so.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If staff members and pupils must spend time on a one-to-one basis, staff will ensure that:</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This takes place in a public place that others can access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Others can see into the room / doors are left ajar</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A colleague or line manager knows this is taking place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avoid contact with pupils outside of school hours. However, we recognise that due to the nature of our school community this may not always be possible-for example where a staff member’s own children attend the school. </w:t>
      </w:r>
      <w:r>
        <w:rPr>
          <w:rFonts w:eastAsia="Arial"/>
          <w:b/>
          <w:color w:val="000000"/>
          <w:szCs w:val="20"/>
          <w:highlight w:val="yellow"/>
        </w:rPr>
        <w:t>In the event that contact is likely, this must be declared to the headteacher to avoid any misunderstandings.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Personal contact details should not be exchanged between staff and pupils under any circumstances. This includes social media profiles.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lastRenderedPageBreak/>
        <w:t xml:space="preserve">While we are aware many pupils and their parents may wish to give gifts to staff, for example, at the end of the school year, gifts from staff to individual pupils are not acceptable.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If a staff member is concerned at any point that an interaction between themselves and a pupil may be misinterpreted, or if a staff member is concerned at any point about a fellow staff member and a pupil, this should be reported in line with the procedures set out in our child protection and safeguarding policy.</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8" w:name="_heading=h.1t3h5sf" w:colFirst="0" w:colLast="0"/>
      <w:bookmarkEnd w:id="8"/>
      <w:r>
        <w:rPr>
          <w:color w:val="2E75B5"/>
        </w:rPr>
        <w:t>6. Communication and social media</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School staff’s social media profiles should not be available to pupils under any circumstances. Staff profiles should be set to private. If a child/parent attempts to make contact via social media, this must be ignored/request deleted.</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not attempt to instigate contact with pupils or their parents via social media, or any other means outside school, in order to develop any sort of relationship. They will not make any efforts to find pupils’ or parents’ social media profiles. However, we recognise that due to the nature of our school community this may not always be possible – for example where a staff member’s own children attend the school.  </w:t>
      </w:r>
      <w:r>
        <w:rPr>
          <w:rFonts w:eastAsia="Arial"/>
          <w:b/>
          <w:color w:val="000000"/>
          <w:szCs w:val="20"/>
          <w:highlight w:val="yellow"/>
        </w:rPr>
        <w:t>In the event that a staff member does have contact with a parent on social media, this must be declared to the headteacher to avoid any misunderstandings.</w:t>
      </w:r>
      <w:r>
        <w:rPr>
          <w:rFonts w:eastAsia="Arial"/>
          <w:b/>
          <w:color w:val="000000"/>
          <w:szCs w:val="20"/>
        </w:rPr>
        <w:t xml:space="preserve">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ensure that they do not post any images online that identify children who are pupils at the school without their consent.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be aware of the school’s online safety policy and acceptable use policy.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be aware that online conduct is as important as conduct in reality.</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9" w:name="_heading=h.4d34og8" w:colFirst="0" w:colLast="0"/>
      <w:bookmarkEnd w:id="9"/>
      <w:r>
        <w:rPr>
          <w:color w:val="2E75B5"/>
        </w:rPr>
        <w:t>7. Acceptable use of technology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will not use personal mobile phones and laptops, or school equipment for personal use, in school hours ( 8:45-12  1-3:45 or in the case of midday staff  11:45- 1:15)  or in front of pupils. Use of mobile phones will be restricted to the staff room/ school offices.  In the event of an emergency situation requiring access to a mobile phone the headteacher must be informed prior – for example if a staff member has an ill child at home. Staff will not use personal mobile phones or cameras to take pictures of pupils.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We have the right to monitor emails and internet use school operated systems.</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10" w:name="_heading=h.2s8eyo1" w:colFirst="0" w:colLast="0"/>
      <w:bookmarkEnd w:id="10"/>
      <w:r>
        <w:rPr>
          <w:color w:val="2E75B5"/>
        </w:rPr>
        <w:t>8. Confidentiality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In the course of their role, members of staff are often privy to sensitive and confidential information about the school, staff, pupils and their parents.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information should never be:</w:t>
      </w:r>
    </w:p>
    <w:p w:rsidR="002900FD" w:rsidRDefault="00E30585">
      <w:pPr>
        <w:numPr>
          <w:ilvl w:val="0"/>
          <w:numId w:val="1"/>
        </w:numPr>
        <w:pBdr>
          <w:top w:val="nil"/>
          <w:left w:val="nil"/>
          <w:bottom w:val="nil"/>
          <w:right w:val="nil"/>
          <w:between w:val="nil"/>
        </w:pBdr>
      </w:pPr>
      <w:r>
        <w:rPr>
          <w:rFonts w:eastAsia="Arial"/>
          <w:color w:val="000000"/>
          <w:szCs w:val="20"/>
        </w:rPr>
        <w:t>Disclosed to anyone unless required by law or with consent from the relevant party or parties</w:t>
      </w:r>
    </w:p>
    <w:p w:rsidR="002900FD" w:rsidRDefault="00E30585">
      <w:pPr>
        <w:numPr>
          <w:ilvl w:val="0"/>
          <w:numId w:val="1"/>
        </w:numPr>
        <w:pBdr>
          <w:top w:val="nil"/>
          <w:left w:val="nil"/>
          <w:bottom w:val="nil"/>
          <w:right w:val="nil"/>
          <w:between w:val="nil"/>
        </w:pBdr>
      </w:pPr>
      <w:r>
        <w:rPr>
          <w:rFonts w:eastAsia="Arial"/>
          <w:color w:val="000000"/>
          <w:szCs w:val="20"/>
        </w:rPr>
        <w:t>Used to humiliate, embarrass or blackmail others</w:t>
      </w:r>
    </w:p>
    <w:p w:rsidR="002900FD" w:rsidRDefault="00E30585">
      <w:pPr>
        <w:numPr>
          <w:ilvl w:val="0"/>
          <w:numId w:val="1"/>
        </w:numPr>
        <w:pBdr>
          <w:top w:val="nil"/>
          <w:left w:val="nil"/>
          <w:bottom w:val="nil"/>
          <w:right w:val="nil"/>
          <w:between w:val="nil"/>
        </w:pBdr>
      </w:pPr>
      <w:r>
        <w:rPr>
          <w:rFonts w:eastAsia="Arial"/>
          <w:color w:val="000000"/>
          <w:szCs w:val="20"/>
        </w:rPr>
        <w:t>Used for a purpose other than what it was collected and intended for</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does not overrule staff’s duty to report child protection concerns to the appropriate channel where staff believe a child has been harmed or is at risk of harm, as detailed further in our child protection and safeguarding policy.</w:t>
      </w:r>
    </w:p>
    <w:p w:rsidR="002900FD" w:rsidRDefault="002900FD">
      <w:pPr>
        <w:pBdr>
          <w:top w:val="nil"/>
          <w:left w:val="nil"/>
          <w:bottom w:val="nil"/>
          <w:right w:val="nil"/>
          <w:between w:val="nil"/>
        </w:pBdr>
        <w:rPr>
          <w:rFonts w:eastAsia="Arial"/>
          <w:color w:val="000000"/>
          <w:szCs w:val="20"/>
        </w:rPr>
      </w:pP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11" w:name="_heading=h.17dp8vu" w:colFirst="0" w:colLast="0"/>
      <w:bookmarkEnd w:id="11"/>
      <w:r>
        <w:rPr>
          <w:color w:val="2E75B5"/>
        </w:rPr>
        <w:lastRenderedPageBreak/>
        <w:t>9. Honesty and integrity</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Staff should maintain high standards of honesty and integrity in their role. This includes when dealing with pupils, handling money, claiming expenses and using school property and facilities.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will not accept bribes. Gifts that are worth more than £25 must be declared and recorded by the school office to avoid any misunderstandings. Staff will ensure that all information given to the school is correct. This should include:</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Background information (including any past or current investigations/cautions related to conduct outside of school)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Qualifications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Professional experience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Where there are any updates to the information provided to the school, the member of staff will advise the school as such as soon as reasonably practicable. Consideration will then be given to the nature and circumstances of the matter and whether this may have an impact on the member of staff’s employment.</w:t>
      </w:r>
    </w:p>
    <w:p w:rsidR="002900FD" w:rsidRDefault="002900FD">
      <w:pPr>
        <w:pBdr>
          <w:top w:val="nil"/>
          <w:left w:val="nil"/>
          <w:bottom w:val="nil"/>
          <w:right w:val="nil"/>
          <w:between w:val="nil"/>
        </w:pBdr>
        <w:rPr>
          <w:rFonts w:eastAsia="Arial"/>
          <w:color w:val="2E75B5"/>
          <w:szCs w:val="20"/>
        </w:rPr>
      </w:pPr>
    </w:p>
    <w:p w:rsidR="002900FD" w:rsidRDefault="00E30585">
      <w:pPr>
        <w:pStyle w:val="Heading1"/>
        <w:rPr>
          <w:color w:val="2E75B5"/>
        </w:rPr>
      </w:pPr>
      <w:bookmarkStart w:id="12" w:name="_heading=h.3rdcrjn" w:colFirst="0" w:colLast="0"/>
      <w:bookmarkEnd w:id="12"/>
      <w:r>
        <w:rPr>
          <w:color w:val="2E75B5"/>
        </w:rPr>
        <w:t>10. Dress code</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will dress in a professional, appropriate manner.</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Outfits will not be overly revealing and will be appropriate for the tasks of the day – for example staff will wear PE kit on PE days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Clothes will not display any offensive or political slogans.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should not have overly long nails which may pose a risk to children.</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wear jewellery at their own risk.</w:t>
      </w:r>
    </w:p>
    <w:p w:rsidR="002900FD" w:rsidRDefault="002900FD">
      <w:pPr>
        <w:pBdr>
          <w:top w:val="nil"/>
          <w:left w:val="nil"/>
          <w:bottom w:val="nil"/>
          <w:right w:val="nil"/>
          <w:between w:val="nil"/>
        </w:pBdr>
        <w:rPr>
          <w:rFonts w:eastAsia="Arial"/>
          <w:color w:val="000000"/>
          <w:szCs w:val="20"/>
        </w:rPr>
      </w:pPr>
    </w:p>
    <w:p w:rsidR="002900FD" w:rsidRDefault="00E30585">
      <w:pPr>
        <w:pStyle w:val="Heading1"/>
        <w:rPr>
          <w:color w:val="2E75B5"/>
        </w:rPr>
      </w:pPr>
      <w:bookmarkStart w:id="13" w:name="_heading=h.26in1rg" w:colFirst="0" w:colLast="0"/>
      <w:bookmarkEnd w:id="13"/>
      <w:r>
        <w:rPr>
          <w:color w:val="2E75B5"/>
        </w:rPr>
        <w:t>11. Conduct outside of work</w:t>
      </w:r>
    </w:p>
    <w:p w:rsidR="002900FD" w:rsidRDefault="00E30585">
      <w:pPr>
        <w:pBdr>
          <w:top w:val="nil"/>
          <w:left w:val="nil"/>
          <w:bottom w:val="nil"/>
          <w:right w:val="nil"/>
          <w:between w:val="nil"/>
        </w:pBdr>
        <w:rPr>
          <w:rFonts w:eastAsia="Arial"/>
          <w:color w:val="000000"/>
          <w:szCs w:val="20"/>
        </w:rPr>
      </w:pPr>
      <w:r>
        <w:rPr>
          <w:rFonts w:eastAsia="Arial"/>
          <w:color w:val="000000"/>
          <w:szCs w:val="20"/>
        </w:rPr>
        <w:t>Staff will not act in a way that would bring the school, or their profession, into disrepute. This covers conduct including but not limited to relevant criminal offences, such as violence or sexual misconduct in addition to anti-social behaviours.  Conduct includes that which is online.</w:t>
      </w:r>
    </w:p>
    <w:p w:rsidR="002900FD" w:rsidRDefault="00E30585">
      <w:pPr>
        <w:pBdr>
          <w:top w:val="nil"/>
          <w:left w:val="nil"/>
          <w:bottom w:val="nil"/>
          <w:right w:val="nil"/>
          <w:between w:val="nil"/>
        </w:pBdr>
        <w:rPr>
          <w:rFonts w:eastAsia="Arial"/>
          <w:b/>
          <w:color w:val="000000"/>
          <w:szCs w:val="20"/>
        </w:rPr>
      </w:pPr>
      <w:r>
        <w:rPr>
          <w:rFonts w:eastAsia="Arial"/>
          <w:b/>
          <w:color w:val="000000"/>
          <w:szCs w:val="20"/>
          <w:highlight w:val="yellow"/>
        </w:rPr>
        <w:t>Due to the nature of our school community and the fact that a number of staff live in the community it is imperative that staff are extra mindful of situations which could result in a complaint under the low level concerns, safeguarding or Code of Conduct policies.</w:t>
      </w:r>
    </w:p>
    <w:p w:rsidR="002900FD" w:rsidRDefault="00E30585">
      <w:pPr>
        <w:pStyle w:val="Heading1"/>
        <w:rPr>
          <w:color w:val="2E75B5"/>
        </w:rPr>
      </w:pPr>
      <w:bookmarkStart w:id="14" w:name="_heading=h.lnxbz9" w:colFirst="0" w:colLast="0"/>
      <w:bookmarkEnd w:id="14"/>
      <w:r>
        <w:rPr>
          <w:color w:val="2E75B5"/>
        </w:rPr>
        <w:t>12. Monitoring arrangements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 xml:space="preserve">This policy will be reviewed annually in line with KCSIE but can be revised as needed. It will be approved by the board of governors in the autumn term </w:t>
      </w:r>
    </w:p>
    <w:p w:rsidR="002900FD" w:rsidRDefault="00E30585">
      <w:pPr>
        <w:pBdr>
          <w:top w:val="nil"/>
          <w:left w:val="nil"/>
          <w:bottom w:val="nil"/>
          <w:right w:val="nil"/>
          <w:between w:val="nil"/>
        </w:pBdr>
        <w:rPr>
          <w:rFonts w:eastAsia="Arial"/>
          <w:color w:val="000000"/>
          <w:szCs w:val="20"/>
        </w:rPr>
      </w:pPr>
      <w:r>
        <w:rPr>
          <w:rFonts w:eastAsia="Arial"/>
          <w:color w:val="000000"/>
          <w:szCs w:val="20"/>
        </w:rPr>
        <w:t>Our board of governors will ensure this code of conduct is implemented effectively, and will ensure appropriate action is taken in a timely manner to safeguard children and deal with any concerns.</w:t>
      </w:r>
    </w:p>
    <w:p w:rsidR="002900FD" w:rsidRDefault="00E30585">
      <w:pPr>
        <w:pStyle w:val="Heading1"/>
        <w:rPr>
          <w:color w:val="2E75B5"/>
        </w:rPr>
      </w:pPr>
      <w:bookmarkStart w:id="15" w:name="_heading=h.35nkun2" w:colFirst="0" w:colLast="0"/>
      <w:bookmarkEnd w:id="15"/>
      <w:r>
        <w:rPr>
          <w:color w:val="2E75B5"/>
        </w:rPr>
        <w:t>13. Links with other policies</w:t>
      </w:r>
    </w:p>
    <w:p w:rsidR="002900FD" w:rsidRDefault="00E30585">
      <w:pPr>
        <w:pBdr>
          <w:top w:val="nil"/>
          <w:left w:val="nil"/>
          <w:bottom w:val="nil"/>
          <w:right w:val="nil"/>
          <w:between w:val="nil"/>
        </w:pBdr>
        <w:rPr>
          <w:rFonts w:eastAsia="Arial"/>
          <w:color w:val="000000"/>
          <w:szCs w:val="20"/>
        </w:rPr>
      </w:pPr>
      <w:r>
        <w:rPr>
          <w:rFonts w:eastAsia="Arial"/>
          <w:color w:val="000000"/>
          <w:szCs w:val="20"/>
        </w:rPr>
        <w:t>This policy links with our policies on:</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Staff disciplinary procedures, which will be used if staff breach this code of conduct. It also sets out examples of what we will deem as misconduct and gross misconduct</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Staff grievance procedures</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 xml:space="preserve">Child protection and safeguarding </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Online safety</w:t>
      </w:r>
    </w:p>
    <w:p w:rsidR="002900FD" w:rsidRDefault="00E30585">
      <w:pPr>
        <w:numPr>
          <w:ilvl w:val="0"/>
          <w:numId w:val="1"/>
        </w:numPr>
        <w:pBdr>
          <w:top w:val="nil"/>
          <w:left w:val="nil"/>
          <w:bottom w:val="nil"/>
          <w:right w:val="nil"/>
          <w:between w:val="nil"/>
        </w:pBdr>
        <w:rPr>
          <w:rFonts w:eastAsia="Arial"/>
          <w:color w:val="000000"/>
          <w:szCs w:val="20"/>
        </w:rPr>
      </w:pPr>
      <w:r>
        <w:rPr>
          <w:rFonts w:eastAsia="Arial"/>
          <w:color w:val="000000"/>
          <w:szCs w:val="20"/>
        </w:rPr>
        <w:t>Whistle-blowing</w:t>
      </w:r>
    </w:p>
    <w:p w:rsidR="002900FD" w:rsidRDefault="002900FD">
      <w:pPr>
        <w:pBdr>
          <w:top w:val="nil"/>
          <w:left w:val="nil"/>
          <w:bottom w:val="nil"/>
          <w:right w:val="nil"/>
          <w:between w:val="nil"/>
        </w:pBdr>
        <w:spacing w:after="240" w:line="259" w:lineRule="auto"/>
        <w:rPr>
          <w:rFonts w:eastAsia="Arial"/>
          <w:color w:val="000000"/>
          <w:sz w:val="28"/>
          <w:szCs w:val="28"/>
        </w:rPr>
      </w:pPr>
    </w:p>
    <w:sectPr w:rsidR="002900FD">
      <w:headerReference w:type="even" r:id="rId13"/>
      <w:headerReference w:type="default" r:id="rId14"/>
      <w:footerReference w:type="default" r:id="rId15"/>
      <w:headerReference w:type="first" r:id="rId16"/>
      <w:footerReference w:type="first" r:id="rId17"/>
      <w:pgSz w:w="11900" w:h="16840"/>
      <w:pgMar w:top="992" w:right="1077" w:bottom="1701" w:left="1077"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E2A" w:rsidRDefault="001C6E2A">
      <w:pPr>
        <w:spacing w:after="0"/>
      </w:pPr>
      <w:r>
        <w:separator/>
      </w:r>
    </w:p>
  </w:endnote>
  <w:endnote w:type="continuationSeparator" w:id="0">
    <w:p w:rsidR="001C6E2A" w:rsidRDefault="001C6E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althaz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Pr>
      <w:widowControl w:val="0"/>
      <w:pBdr>
        <w:top w:val="nil"/>
        <w:left w:val="nil"/>
        <w:bottom w:val="nil"/>
        <w:right w:val="nil"/>
        <w:between w:val="nil"/>
      </w:pBdr>
      <w:spacing w:after="0" w:line="276" w:lineRule="auto"/>
    </w:pPr>
  </w:p>
  <w:tbl>
    <w:tblPr>
      <w:tblStyle w:val="a0"/>
      <w:tblW w:w="9781" w:type="dxa"/>
      <w:tblBorders>
        <w:top w:val="single" w:sz="8" w:space="0" w:color="FF1F64"/>
      </w:tblBorders>
      <w:tblLayout w:type="fixed"/>
      <w:tblLook w:val="0400" w:firstRow="0" w:lastRow="0" w:firstColumn="0" w:lastColumn="0" w:noHBand="0" w:noVBand="1"/>
    </w:tblPr>
    <w:tblGrid>
      <w:gridCol w:w="6379"/>
      <w:gridCol w:w="3402"/>
    </w:tblGrid>
    <w:tr w:rsidR="002900FD">
      <w:tc>
        <w:tcPr>
          <w:tcW w:w="6379" w:type="dxa"/>
          <w:shd w:val="clear" w:color="auto" w:fill="auto"/>
        </w:tcPr>
        <w:p w:rsidR="002900FD" w:rsidRDefault="002900FD">
          <w:pPr>
            <w:shd w:val="clear" w:color="auto" w:fill="FFFFFF"/>
            <w:rPr>
              <w:color w:val="808080"/>
              <w:sz w:val="16"/>
              <w:szCs w:val="16"/>
            </w:rPr>
          </w:pPr>
        </w:p>
      </w:tc>
      <w:tc>
        <w:tcPr>
          <w:tcW w:w="3402" w:type="dxa"/>
        </w:tcPr>
        <w:p w:rsidR="002900FD" w:rsidRDefault="002900FD">
          <w:pPr>
            <w:shd w:val="clear" w:color="auto" w:fill="FFFFFF"/>
            <w:rPr>
              <w:color w:val="BFBFBF"/>
              <w:sz w:val="17"/>
              <w:szCs w:val="17"/>
            </w:rPr>
          </w:pPr>
        </w:p>
      </w:tc>
    </w:tr>
  </w:tbl>
  <w:p w:rsidR="002900FD" w:rsidRDefault="00E30585">
    <w:pPr>
      <w:pBdr>
        <w:top w:val="nil"/>
        <w:left w:val="nil"/>
        <w:bottom w:val="nil"/>
        <w:right w:val="nil"/>
        <w:between w:val="nil"/>
      </w:pBdr>
      <w:shd w:val="clear" w:color="auto" w:fill="FFFFFF"/>
      <w:rPr>
        <w:rFonts w:eastAsia="Arial"/>
        <w:color w:val="808080"/>
        <w:sz w:val="16"/>
        <w:szCs w:val="16"/>
      </w:rPr>
    </w:pPr>
    <w:r>
      <w:rPr>
        <w:rFonts w:eastAsia="Arial"/>
        <w:color w:val="000000"/>
        <w:sz w:val="16"/>
        <w:szCs w:val="16"/>
      </w:rPr>
      <w:t>Page</w:t>
    </w:r>
    <w:r>
      <w:rPr>
        <w:rFonts w:eastAsia="Arial"/>
        <w:b/>
        <w:color w:val="808080"/>
        <w:sz w:val="16"/>
        <w:szCs w:val="16"/>
      </w:rPr>
      <w:t xml:space="preserve"> </w:t>
    </w:r>
    <w:r>
      <w:rPr>
        <w:rFonts w:eastAsia="Arial"/>
        <w:b/>
        <w:color w:val="FF1F64"/>
        <w:sz w:val="16"/>
        <w:szCs w:val="16"/>
      </w:rPr>
      <w:t>|</w:t>
    </w:r>
    <w:r>
      <w:rPr>
        <w:rFonts w:eastAsia="Arial"/>
        <w:color w:val="808080"/>
        <w:sz w:val="16"/>
        <w:szCs w:val="16"/>
      </w:rPr>
      <w:t xml:space="preserve">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sidR="005C4E7E">
      <w:rPr>
        <w:rFonts w:eastAsia="Arial"/>
        <w:noProof/>
        <w:color w:val="000000"/>
        <w:sz w:val="16"/>
        <w:szCs w:val="16"/>
      </w:rPr>
      <w:t>7</w:t>
    </w:r>
    <w:r>
      <w:rPr>
        <w:rFonts w:eastAsia="Arial"/>
        <w:color w:val="000000"/>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Pr>
      <w:widowControl w:val="0"/>
      <w:pBdr>
        <w:top w:val="nil"/>
        <w:left w:val="nil"/>
        <w:bottom w:val="nil"/>
        <w:right w:val="nil"/>
        <w:between w:val="nil"/>
      </w:pBdr>
      <w:spacing w:after="0" w:line="276" w:lineRule="auto"/>
      <w:rPr>
        <w:rFonts w:eastAsia="Arial"/>
        <w:color w:val="808080"/>
        <w:sz w:val="16"/>
        <w:szCs w:val="16"/>
      </w:rPr>
    </w:pPr>
  </w:p>
  <w:tbl>
    <w:tblPr>
      <w:tblStyle w:val="a1"/>
      <w:tblW w:w="9781" w:type="dxa"/>
      <w:tblBorders>
        <w:top w:val="single" w:sz="8" w:space="0" w:color="FF1F64"/>
      </w:tblBorders>
      <w:tblLayout w:type="fixed"/>
      <w:tblLook w:val="0400" w:firstRow="0" w:lastRow="0" w:firstColumn="0" w:lastColumn="0" w:noHBand="0" w:noVBand="1"/>
    </w:tblPr>
    <w:tblGrid>
      <w:gridCol w:w="6379"/>
      <w:gridCol w:w="3402"/>
    </w:tblGrid>
    <w:tr w:rsidR="002900FD">
      <w:tc>
        <w:tcPr>
          <w:tcW w:w="0" w:type="auto"/>
          <w:shd w:val="clear" w:color="auto" w:fill="auto"/>
        </w:tcPr>
        <w:p w:rsidR="002900FD" w:rsidRDefault="00E30585">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0" w:type="auto"/>
        </w:tcPr>
        <w:p w:rsidR="002900FD" w:rsidRDefault="002900FD">
          <w:pPr>
            <w:shd w:val="clear" w:color="auto" w:fill="FFFFFF"/>
            <w:rPr>
              <w:color w:val="BFBFBF"/>
              <w:sz w:val="17"/>
              <w:szCs w:val="17"/>
            </w:rPr>
          </w:pPr>
        </w:p>
      </w:tc>
    </w:tr>
  </w:tbl>
  <w:p w:rsidR="002900FD" w:rsidRDefault="00E30585">
    <w:pPr>
      <w:pBdr>
        <w:top w:val="nil"/>
        <w:left w:val="nil"/>
        <w:bottom w:val="nil"/>
        <w:right w:val="nil"/>
        <w:between w:val="nil"/>
      </w:pBdr>
      <w:shd w:val="clear" w:color="auto" w:fill="FFFFFF"/>
      <w:rPr>
        <w:rFonts w:eastAsia="Arial"/>
        <w:color w:val="808080"/>
        <w:sz w:val="16"/>
        <w:szCs w:val="16"/>
      </w:rPr>
    </w:pPr>
    <w:r>
      <w:rPr>
        <w:rFonts w:eastAsia="Arial"/>
        <w:color w:val="000000"/>
        <w:sz w:val="16"/>
        <w:szCs w:val="16"/>
      </w:rPr>
      <w:t>Page</w:t>
    </w:r>
    <w:r>
      <w:rPr>
        <w:rFonts w:eastAsia="Arial"/>
        <w:b/>
        <w:color w:val="808080"/>
        <w:sz w:val="16"/>
        <w:szCs w:val="16"/>
      </w:rPr>
      <w:t xml:space="preserve"> </w:t>
    </w:r>
    <w:r>
      <w:rPr>
        <w:rFonts w:eastAsia="Arial"/>
        <w:b/>
        <w:color w:val="FF1F64"/>
        <w:sz w:val="16"/>
        <w:szCs w:val="16"/>
      </w:rPr>
      <w:t>|</w:t>
    </w:r>
    <w:r>
      <w:rPr>
        <w:rFonts w:eastAsia="Arial"/>
        <w:color w:val="808080"/>
        <w:sz w:val="16"/>
        <w:szCs w:val="16"/>
      </w:rPr>
      <w:t xml:space="preserve">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E2A" w:rsidRDefault="001C6E2A">
      <w:pPr>
        <w:spacing w:after="0"/>
      </w:pPr>
      <w:r>
        <w:separator/>
      </w:r>
    </w:p>
  </w:footnote>
  <w:footnote w:type="continuationSeparator" w:id="0">
    <w:p w:rsidR="001C6E2A" w:rsidRDefault="001C6E2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E30585">
    <w:r>
      <w:rPr>
        <w:noProof/>
        <w:lang w:val="en-GB" w:eastAsia="en-GB"/>
      </w:rPr>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7558405" cy="10695940"/>
          <wp:effectExtent l="0" t="0" r="0" b="0"/>
          <wp:wrapNone/>
          <wp:docPr id="12" name="image2.png" descr="keydocs-background-banner"/>
          <wp:cNvGraphicFramePr/>
          <a:graphic xmlns:a="http://schemas.openxmlformats.org/drawingml/2006/main">
            <a:graphicData uri="http://schemas.openxmlformats.org/drawingml/2006/picture">
              <pic:pic xmlns:pic="http://schemas.openxmlformats.org/drawingml/2006/picture">
                <pic:nvPicPr>
                  <pic:cNvPr id="0" name="image2.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1C6E2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15pt;height:842.2pt;z-index:-251658240;mso-position-horizontal:center;mso-position-horizontal-relative:margin;mso-position-vertical:center;mso-position-vertical-relative:margin">
          <v:imagedata r:id="rId2" o:title="image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 w:rsidR="002900FD" w:rsidRDefault="002900FD"/>
  <w:p w:rsidR="002900FD" w:rsidRDefault="002900F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0FD" w:rsidRDefault="002900FD"/>
  <w:p w:rsidR="002900FD" w:rsidRDefault="002900F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B5B0C"/>
    <w:multiLevelType w:val="multilevel"/>
    <w:tmpl w:val="42981E78"/>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60E4930"/>
    <w:multiLevelType w:val="multilevel"/>
    <w:tmpl w:val="18944D08"/>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0FD"/>
    <w:rsid w:val="001C6E2A"/>
    <w:rsid w:val="002900FD"/>
    <w:rsid w:val="005C4E7E"/>
    <w:rsid w:val="00874712"/>
    <w:rsid w:val="00C74643"/>
    <w:rsid w:val="00E30585"/>
    <w:rsid w:val="00F63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D2E160"/>
  <w15:docId w15:val="{859AA063-A546-4F83-86AF-6DC9E534E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2F08"/>
    <w:pPr>
      <w:spacing w:after="0"/>
      <w:contextualSpacing/>
    </w:pPr>
    <w:rPr>
      <w:rFonts w:ascii="Calibri Light" w:eastAsia="Times New Roman" w:hAnsi="Calibri Light"/>
      <w:spacing w:val="-10"/>
      <w:kern w:val="28"/>
      <w:sz w:val="56"/>
      <w:szCs w:val="56"/>
      <w:lang w:val="en-GB"/>
    </w:rPr>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line="259" w:lineRule="auto"/>
    </w:pPr>
    <w:rPr>
      <w:rFonts w:eastAsia="MS Mincho"/>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b/>
      <w:sz w:val="24"/>
      <w:szCs w:val="20"/>
    </w:rPr>
  </w:style>
  <w:style w:type="paragraph" w:customStyle="1" w:styleId="7DOsbullet">
    <w:name w:val="7 DOs bullet"/>
    <w:basedOn w:val="Normal"/>
    <w:rsid w:val="00B846C2"/>
    <w:pPr>
      <w:tabs>
        <w:tab w:val="num" w:pos="720"/>
      </w:tabs>
      <w:ind w:left="720" w:right="284" w:hanging="720"/>
    </w:pPr>
    <w:rPr>
      <w:b/>
      <w:sz w:val="24"/>
      <w:szCs w:val="20"/>
    </w:rPr>
  </w:style>
  <w:style w:type="paragraph" w:customStyle="1" w:styleId="4Bulletedcopyblue">
    <w:name w:val="4 Bulleted copy blue"/>
    <w:basedOn w:val="Normal"/>
    <w:qFormat/>
    <w:rsid w:val="00B846C2"/>
    <w:pPr>
      <w:tabs>
        <w:tab w:val="num" w:pos="720"/>
      </w:tabs>
      <w:ind w:left="720" w:hanging="720"/>
    </w:pPr>
    <w:rPr>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tabs>
        <w:tab w:val="num" w:pos="720"/>
      </w:tabs>
      <w:ind w:left="720" w:right="567" w:hanging="720"/>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tabs>
        <w:tab w:val="num" w:pos="720"/>
      </w:tabs>
      <w:spacing w:before="120"/>
      <w:ind w:left="720" w:right="850" w:hanging="720"/>
    </w:pPr>
    <w:rPr>
      <w:b/>
      <w:bCs/>
      <w:color w:val="12263F"/>
      <w:sz w:val="32"/>
      <w:szCs w:val="32"/>
    </w:rPr>
  </w:style>
  <w:style w:type="paragraph" w:customStyle="1" w:styleId="1bodycopy11pt">
    <w:name w:val="1 body copy 11pt"/>
    <w:autoRedefine/>
    <w:rsid w:val="00B846C2"/>
    <w:pPr>
      <w:ind w:right="850"/>
    </w:pPr>
    <w:rPr>
      <w:rFonts w:eastAsia="MS Mincho"/>
      <w:sz w:val="22"/>
      <w:szCs w:val="24"/>
      <w:lang w:val="en-US" w:eastAsia="en-US"/>
    </w:rPr>
  </w:style>
  <w:style w:type="character" w:customStyle="1" w:styleId="SubheadwithpointerChar">
    <w:name w:val="Subhead with pointer Char"/>
    <w:link w:val="Subheadwithpointer"/>
    <w:rsid w:val="00C31397"/>
    <w:rPr>
      <w:rFonts w:eastAsia="MS Mincho"/>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tabs>
        <w:tab w:val="num" w:pos="720"/>
      </w:tabs>
      <w:ind w:left="720" w:hanging="720"/>
    </w:pPr>
  </w:style>
  <w:style w:type="paragraph" w:customStyle="1" w:styleId="Tablecopybulleted">
    <w:name w:val="Table copy bulleted"/>
    <w:basedOn w:val="Tablebodycopy"/>
    <w:qFormat/>
    <w:rsid w:val="009122BB"/>
    <w:pPr>
      <w:tabs>
        <w:tab w:val="num" w:pos="720"/>
      </w:tabs>
      <w:ind w:left="720" w:hanging="720"/>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style>
  <w:style w:type="character" w:customStyle="1" w:styleId="TitleChar">
    <w:name w:val="Title Char"/>
    <w:basedOn w:val="DefaultParagraphFont"/>
    <w:link w:val="Title"/>
    <w:uiPriority w:val="10"/>
    <w:rsid w:val="00962F08"/>
    <w:rPr>
      <w:rFonts w:ascii="Calibri Light" w:eastAsia="Times New Roman" w:hAnsi="Calibri Light"/>
      <w:spacing w:val="-10"/>
      <w:kern w:val="28"/>
      <w:sz w:val="56"/>
      <w:szCs w:val="56"/>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tblPr>
      <w:tblStyleRowBandSize w:val="1"/>
      <w:tblStyleColBandSize w:val="1"/>
      <w:tblCellMar>
        <w:top w:w="142" w:type="dxa"/>
        <w:left w:w="0" w:type="dxa"/>
        <w:right w:w="0" w:type="dxa"/>
      </w:tblCellMar>
    </w:tblPr>
  </w:style>
  <w:style w:type="table" w:customStyle="1" w:styleId="a1">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09/2680/contents/ma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teachers-standar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z7q/L7OowQnXGmU4qv/ykGFG9g==">CgMxLjAyCGguZ2pkZ3hzMgloLjMwajB6bGwyCWguMWZvYjl0ZTIJaC4zem55c2g3MgloLjJldDkycDAyCGgudHlqY3d0MgloLjNkeTZ2a20yCWguMXQzaDVzZjIJaC40ZDM0b2c4MgloLjJzOGV5bzEyCWguMTdkcDh2dTIJaC4zcmRjcmpuMgloLjI2aW4xcmcyCGgubG54Yno5MgloLjM1bmt1bjI4AHIhMVp0ajhmakxLR20yQnh2QUJub3VxdGMtVVppLXpvUElr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2266</Words>
  <Characters>12921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Adeline Brack</cp:lastModifiedBy>
  <cp:revision>2</cp:revision>
  <dcterms:created xsi:type="dcterms:W3CDTF">2026-09-28T12:54:00Z</dcterms:created>
  <dcterms:modified xsi:type="dcterms:W3CDTF">2026-09-28T12:54:00Z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0x010100E3E44FB64CA74E48A584A395B1689417</vt:lpwstr>
  </property>
</Properties>
</file>