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114300" distR="114300">
            <wp:extent cx="1905000" cy="1905000"/>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50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lgerian" w:cs="Algerian" w:eastAsia="Algerian" w:hAnsi="Algerian"/>
          <w:b w:val="0"/>
          <w:i w:val="0"/>
          <w:smallCaps w:val="0"/>
          <w:strike w:val="0"/>
          <w:color w:val="000000"/>
          <w:sz w:val="40"/>
          <w:szCs w:val="40"/>
          <w:u w:val="none"/>
          <w:shd w:fill="auto" w:val="clear"/>
          <w:vertAlign w:val="baseline"/>
        </w:rPr>
      </w:pPr>
      <w:r w:rsidDel="00000000" w:rsidR="00000000" w:rsidRPr="00000000">
        <w:rPr>
          <w:rFonts w:ascii="Algerian" w:cs="Algerian" w:eastAsia="Algerian" w:hAnsi="Algerian"/>
          <w:b w:val="0"/>
          <w:i w:val="0"/>
          <w:smallCaps w:val="0"/>
          <w:strike w:val="0"/>
          <w:color w:val="000000"/>
          <w:sz w:val="40"/>
          <w:szCs w:val="40"/>
          <w:u w:val="none"/>
          <w:shd w:fill="auto" w:val="clear"/>
          <w:vertAlign w:val="baseline"/>
          <w:rtl w:val="0"/>
        </w:rPr>
        <w:t xml:space="preserve">Let Your Light Shine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lgerian" w:cs="Algerian" w:eastAsia="Algerian" w:hAnsi="Algerian"/>
          <w:b w:val="0"/>
          <w:i w:val="0"/>
          <w:smallCaps w:val="0"/>
          <w:strike w:val="0"/>
          <w:color w:val="000000"/>
          <w:sz w:val="40"/>
          <w:szCs w:val="40"/>
          <w:u w:val="none"/>
          <w:shd w:fill="auto" w:val="clear"/>
          <w:vertAlign w:val="baseline"/>
        </w:rPr>
      </w:pPr>
      <w:r w:rsidDel="00000000" w:rsidR="00000000" w:rsidRPr="00000000">
        <w:rPr>
          <w:rFonts w:ascii="Algerian" w:cs="Algerian" w:eastAsia="Algerian" w:hAnsi="Algerian"/>
          <w:b w:val="0"/>
          <w:i w:val="0"/>
          <w:smallCaps w:val="0"/>
          <w:strike w:val="0"/>
          <w:color w:val="000000"/>
          <w:sz w:val="40"/>
          <w:szCs w:val="40"/>
          <w:u w:val="none"/>
          <w:shd w:fill="auto" w:val="clear"/>
          <w:vertAlign w:val="baseline"/>
          <w:rtl w:val="0"/>
        </w:rPr>
        <w:t xml:space="preserve">Matthew 5:16</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Barton St Peter’s Church of England Primary School</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MODEL CHARGING AND CONCESSIONS POLICY</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 </w:t>
            </w:r>
            <w:r w:rsidDel="00000000" w:rsidR="00000000" w:rsidRPr="00000000">
              <w:rPr>
                <w:rtl w:val="0"/>
              </w:rPr>
            </w:r>
          </w:p>
        </w:tc>
      </w:tr>
    </w:tbl>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policy has been formulated in accordance with the Department for Children, Schools &amp; Families (DCSF) (formerly the DfES) advice on charging for school activities.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[http://www.teachernet.gov.uk/management/atoz/c/chargingforactivities/]</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Aim</w:t>
            </w:r>
            <w:r w:rsidDel="00000000" w:rsidR="00000000" w:rsidRPr="00000000">
              <w:rPr>
                <w:rtl w:val="0"/>
              </w:rPr>
            </w:r>
          </w:p>
        </w:tc>
      </w:tr>
    </w:tbl>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aim of this policy is to set out what charges should be levied for school activities, what remissions could be implemented and the circumstances under which voluntary contributions can be requested from parents.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Sections 7, 8 and 9 cover education provided wholly or mainly during school hours; Section 10 covers charges for extended activities outside school hours, provided by or on behalf of the governing body of Barton St Peter’s Church of England</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Primary School.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Definition of Extended Provision </w:t>
            </w:r>
            <w:r w:rsidDel="00000000" w:rsidR="00000000" w:rsidRPr="00000000">
              <w:rPr>
                <w:rtl w:val="0"/>
              </w:rPr>
            </w:r>
          </w:p>
        </w:tc>
      </w:tr>
    </w:tbl>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Extended use of school premises is when schools open up their school facilities either before, during or after the school day as well as during school holidays for educational, community or commercial use.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 use is defined as any activity directly related to the curriculum.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Community use is defined as facilities and services that benefit families and the community as well as pupils.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Commercial use is defined as school facilities being let to external organisations/groups on a profit basis.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Responsibilities</w:t>
            </w:r>
            <w:r w:rsidDel="00000000" w:rsidR="00000000" w:rsidRPr="00000000">
              <w:rPr>
                <w:rtl w:val="0"/>
              </w:rPr>
            </w:r>
          </w:p>
        </w:tc>
      </w:tr>
    </w:tb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governing body of Barton St Peter’s Church of England</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Primary School is responsible for determining the content of the policy and the head teacher for its implementation.  Any decisions with respect to individual parents will be considered by the head teacher.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governing body should make all users aware of local safeguarding procedures, especially when the school is being let during the normal school day.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governing body must ensure that all site users have their own safeguarding procedures in place and all staff are aware of their content.  Safeguarding procedures should be equivalent to those adopted by the Local Safeguarding Children’s Board (LSCB) within North Lincolnshire.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Prohibition of Charges</w:t>
            </w:r>
            <w:r w:rsidDel="00000000" w:rsidR="00000000" w:rsidRPr="00000000">
              <w:rPr>
                <w:rtl w:val="0"/>
              </w:rPr>
            </w:r>
          </w:p>
        </w:tc>
      </w:tr>
    </w:tb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line with DCSF guidance, the governing body will not charge for any of the following:-</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 provided wholly or mainly during school hours (including the supply of any materials, books, instruments or other equipment);</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 provided outside school hours if it is part of the national curriculum, or part of a syllabus for a prescribed public examination that the pupil is being prepared for at the school, or part of religious education;</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tuition for pupils learning to play musical instruments if the tuition is required as part of the national curriculum, or part of a syllabus for a prescribed public examination that the pupil is being prepared for at the school, or part of religious education;</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entry for a prescribed public examination, if the pupil has been prepared for it at the school;</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examination re-sit(s) if the pupil is being prepared for the re-sit(s) at the school;</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education provided on any trip that takes place outside school hours if it is part of the national curriculum, or part of a syllabus for a prescribed public examination that the pupil is being prepared for at the school, or part of religious education;</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supply teachers to cover for those teachers who are absent from school accompanying pupils on a residential trip;</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transporting registered pupils to or from the school premises, where the local authority has a statutory obligation to provide transport;</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transporting registered pupils to other premises where the governing body or local authority has arranged for pupils to be educated;</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transport that enables a pupil to meet an examination requirement when they have been prepared for that examination at the school;</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97"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transport provided in connection with an educational trip that is wholly or mainly in school hours.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Publication of Information</w:t>
            </w:r>
            <w:r w:rsidDel="00000000" w:rsidR="00000000" w:rsidRPr="00000000">
              <w:rPr>
                <w:rtl w:val="0"/>
              </w:rPr>
            </w:r>
          </w:p>
        </w:tc>
      </w:tr>
    </w:tbl>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summary of this policy will be available at reception.  A full copy will be provided on request.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Charges for Curricular Activities</w:t>
            </w:r>
            <w:r w:rsidDel="00000000" w:rsidR="00000000" w:rsidRPr="00000000">
              <w:rPr>
                <w:rtl w:val="0"/>
              </w:rPr>
            </w:r>
          </w:p>
        </w:tc>
      </w:tr>
    </w:tb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proportionate costs for an individual child taking part in activities wholly or mainly outside school hours (‘optional extras’) to meet the costs for:</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25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travel</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25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materials and equipment</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25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staffing costs</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25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entrance fees</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25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insurance costs</w:t>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individual tuition in the playing of a musical instrument</w:t>
      </w:r>
    </w:p>
    <w:p w:rsidR="00000000" w:rsidDel="00000000" w:rsidP="00000000" w:rsidRDefault="00000000" w:rsidRPr="00000000" w14:paraId="0000004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re-sits for public examinations where no further preparation has been provided by the school</w:t>
      </w:r>
    </w:p>
    <w:p w:rsidR="00000000" w:rsidDel="00000000" w:rsidP="00000000" w:rsidRDefault="00000000" w:rsidRPr="00000000" w14:paraId="0000004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costs of non-prescribed examinations where no further preparation has been provided by the school</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other education, transport or examination fee unless charges are specifically prohibited</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breakages and replacements as a result of damages caused wilfully or negligently by pupils</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extra-curricular activities and school clubs.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Concessions</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Where the trip takes place wholly or mainly during school hours, children will, in addition to having a free school lunch entitlement, also be entitled to concession of these charges if their parents are in receipt of any of the following support payments:</w:t>
      </w:r>
    </w:p>
    <w:p w:rsidR="00000000" w:rsidDel="00000000" w:rsidP="00000000" w:rsidRDefault="00000000" w:rsidRPr="00000000" w14:paraId="0000004F">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0">
      <w:pPr>
        <w:numPr>
          <w:ilvl w:val="0"/>
          <w:numId w:val="6"/>
        </w:numPr>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Income Support;   </w:t>
      </w:r>
    </w:p>
    <w:p w:rsidR="00000000" w:rsidDel="00000000" w:rsidP="00000000" w:rsidRDefault="00000000" w:rsidRPr="00000000" w14:paraId="00000051">
      <w:pPr>
        <w:numPr>
          <w:ilvl w:val="0"/>
          <w:numId w:val="6"/>
        </w:numPr>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Income-based Jobseeker's Allowance;   </w:t>
      </w:r>
    </w:p>
    <w:p w:rsidR="00000000" w:rsidDel="00000000" w:rsidP="00000000" w:rsidRDefault="00000000" w:rsidRPr="00000000" w14:paraId="00000052">
      <w:pPr>
        <w:numPr>
          <w:ilvl w:val="0"/>
          <w:numId w:val="6"/>
        </w:numPr>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support under part VI of the Immigration and Asylum Act 1999; </w:t>
      </w:r>
    </w:p>
    <w:p w:rsidR="00000000" w:rsidDel="00000000" w:rsidP="00000000" w:rsidRDefault="00000000" w:rsidRPr="00000000" w14:paraId="00000053">
      <w:pPr>
        <w:numPr>
          <w:ilvl w:val="0"/>
          <w:numId w:val="6"/>
        </w:numPr>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Child Tax Credit provided the parent is not entitled to Working Tax Credit and their annual income does not exceed £14,155 (as of October 2007); </w:t>
      </w:r>
    </w:p>
    <w:p w:rsidR="00000000" w:rsidDel="00000000" w:rsidP="00000000" w:rsidRDefault="00000000" w:rsidRPr="00000000" w14:paraId="00000054">
      <w:pPr>
        <w:numPr>
          <w:ilvl w:val="0"/>
          <w:numId w:val="6"/>
        </w:numPr>
        <w:ind w:left="720" w:hanging="36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Guaranteed State Pension Credit.</w:t>
      </w:r>
    </w:p>
    <w:p w:rsidR="00000000" w:rsidDel="00000000" w:rsidP="00000000" w:rsidRDefault="00000000" w:rsidRPr="00000000" w14:paraId="00000055">
      <w:pPr>
        <w:rPr>
          <w:sz w:val="22"/>
          <w:szCs w:val="22"/>
          <w:vertAlign w:val="baseline"/>
        </w:rPr>
      </w:pPr>
      <w:r w:rsidDel="00000000" w:rsidR="00000000" w:rsidRPr="00000000">
        <w:rPr>
          <w:rtl w:val="0"/>
        </w:rPr>
      </w:r>
    </w:p>
    <w:p w:rsidR="00000000" w:rsidDel="00000000" w:rsidP="00000000" w:rsidRDefault="00000000" w:rsidRPr="00000000" w14:paraId="0000005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 similar entitlement to concessions applies where the trip takes place outside of school hours but it is necessary as part of the national curriculum, forms part of the syllabus for a prescribed examination that the school is preparing the pupil to sit, or the syllabus for religious education.</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respect of (d) above, the amount taken into account will be revised periodically in line with changes to the amount published by the DCSF.</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9"/>
        <w:tblpPr w:leftFromText="180" w:rightFromText="180" w:topFromText="0" w:bottomFromText="0" w:vertAnchor="text" w:horzAnchor="text" w:tblpX="0" w:tblpY="17"/>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8522"/>
        <w:tblGridChange w:id="0">
          <w:tblGrid>
            <w:gridCol w:w="8522"/>
          </w:tblGrid>
        </w:tblGridChange>
      </w:tblGrid>
      <w:tr>
        <w:trPr>
          <w:cantSplit w:val="1"/>
          <w:tblHeader w:val="0"/>
        </w:trPr>
        <w:tc>
          <w:tcPr>
            <w:shd w:fill="c0c0c0" w:val="clear"/>
            <w:vAlign w:val="top"/>
          </w:tcPr>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0"/>
              </w:tabs>
              <w:spacing w:after="120" w:before="12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Voluntary Contributions</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Parents will be invited to make a voluntary contribution for the following:</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a) Educational visits – transport and entry fees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b) Ingredients for cookery or craft</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terms of any request made to parents will specify that the request is for a voluntary contribution and in no way represents a charge. In addition the following will be made clear to parents: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w:t>
        <w:tab/>
        <w:t xml:space="preserve">that the contribution is genuinely voluntary and a parent is under no obligation to pay; and</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w:t>
        <w:tab/>
        <w:t xml:space="preserve">that registered pupils at the school will not be treated differently according to whether or not their parents have made any contribution in response to the request.</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responsibility for determining the level of voluntary contribution is delegated to the head teacher.</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Voluntary contributions will be used to:</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126"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transport and entry fees</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126" w:right="0" w:hanging="397"/>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for ingredients or craft material that is additional to normal curriculum resource</w:t>
      </w:r>
    </w:p>
    <w:tbl>
      <w:tblPr>
        <w:tblStyle w:val="Table10"/>
        <w:tblpPr w:leftFromText="180" w:rightFromText="180" w:topFromText="0" w:bottomFromText="0" w:vertAnchor="text" w:horzAnchor="text" w:tblpX="0" w:tblpY="0"/>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22"/>
        <w:tblGridChange w:id="0">
          <w:tblGrid>
            <w:gridCol w:w="8522"/>
          </w:tblGrid>
        </w:tblGridChange>
      </w:tblGrid>
      <w:tr>
        <w:trPr>
          <w:cantSplit w:val="0"/>
          <w:trHeight w:val="680" w:hRule="atLeast"/>
          <w:tblHeader w:val="0"/>
        </w:trPr>
        <w:tc>
          <w:tcPr>
            <w:shd w:fill="c0c0c0" w:val="clear"/>
            <w:vAlign w:val="center"/>
          </w:tcPr>
          <w:p w:rsidR="00000000" w:rsidDel="00000000" w:rsidP="00000000" w:rsidRDefault="00000000" w:rsidRPr="00000000" w14:paraId="000000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36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Charges for Extended Activities</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w:t>
        <w:tab/>
        <w:t xml:space="preserve">Charges are made for optional, extra activities provided outside of the school day, for example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[theatre visit].</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Charges are also made for extended activities provided in or around the school by, or on behalf of the governing body. These fall under the following three broad categories: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Educational activities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Activities organised or commissioned by schools for the benefit of their own pupils such as study support and other enrichment activities (e.g. additional language tuition, music practice, chess club etc).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92"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Non-educational activities: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Extra-curricular activities organised by schools such as the provision of childcare for school staff or recreational activities for school pupils.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92"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Community programmes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Activities organised for the benefit of the wider community, often run with or by external groups (e.g. pre-school childcare, sport, performing arts, adult education).</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92"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w:t>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Charges are made for renting or leasing part of the school premises or use of school equipment.</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schedule of charges for individual activities currently provided on or around the school site is available on request.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governing body has decided that charges will be reduced for some activities in the following circumstances: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44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Rainbows, Brownies, Guides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school’s published schedule of charges identifies the activities to which reduced rates of charging apply.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1</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demonstrates the current activities offered by Barton St Peter’s Church of England</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Primary School under the core offer for extended provision.  (This will be updated on an annual basis).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implementing this policy, the school and governing body should have due regard to the correct recording of income and expenditure against the delegated budget or against community focused extended school codes in accordance with the Consistent Finance Reporting (CFR) guidance issued by the local authority to schools in September 2007 (Appendix 2).</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3</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document provides further guidance for charges for community use of school facilities and premises.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is a flowchart for the use of school premises by external organisations.</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 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contains guidance on the calculation of base-line premise costs.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 of Policy agreement:- November 202</w:t>
      </w:r>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 of policy review :-  November 202</w:t>
      </w:r>
      <w:r w:rsidDel="00000000" w:rsidR="00000000" w:rsidRPr="00000000">
        <w:rPr>
          <w:rFonts w:ascii="Arial" w:cs="Arial" w:eastAsia="Arial" w:hAnsi="Arial"/>
          <w:sz w:val="22"/>
          <w:szCs w:val="22"/>
          <w:rtl w:val="0"/>
        </w:rPr>
        <w:t xml:space="preserve">6</w:t>
      </w:r>
      <w:r w:rsidDel="00000000" w:rsidR="00000000" w:rsidRPr="00000000">
        <w:rPr>
          <w:rtl w:val="0"/>
        </w:rPr>
      </w:r>
    </w:p>
    <w:sectPr>
      <w:headerReference r:id="rId8" w:type="even"/>
      <w:footerReference r:id="rId9" w:type="default"/>
      <w:footerReference r:id="rId10" w:type="first"/>
      <w:pgSz w:h="16838" w:w="11906" w:orient="portrait"/>
      <w:pgMar w:bottom="1440" w:top="0" w:left="1440" w:right="1440" w:header="706" w:footer="70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Algeri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7"/>
      <w:numFmt w:val="bullet"/>
      <w:lvlText w:val="●"/>
      <w:lvlJc w:val="left"/>
      <w:pPr>
        <w:ind w:left="397" w:hanging="397"/>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lowerLetter"/>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lvl w:ilvl="0">
      <w:start w:val="1"/>
      <w:numFmt w:val="lowerRoman"/>
      <w:lvlText w:val="(%1)"/>
      <w:lvlJc w:val="left"/>
      <w:pPr>
        <w:ind w:left="2880" w:hanging="720"/>
      </w:pPr>
      <w:rPr>
        <w:vertAlign w:val="baseline"/>
      </w:rPr>
    </w:lvl>
    <w:lvl w:ilvl="1">
      <w:start w:val="1"/>
      <w:numFmt w:val="lowerLetter"/>
      <w:lvlText w:val="%2."/>
      <w:lvlJc w:val="left"/>
      <w:pPr>
        <w:ind w:left="3240" w:hanging="360"/>
      </w:pPr>
      <w:rPr>
        <w:vertAlign w:val="baseline"/>
      </w:rPr>
    </w:lvl>
    <w:lvl w:ilvl="2">
      <w:start w:val="1"/>
      <w:numFmt w:val="lowerRoman"/>
      <w:lvlText w:val="%3."/>
      <w:lvlJc w:val="right"/>
      <w:pPr>
        <w:ind w:left="3960" w:hanging="180"/>
      </w:pPr>
      <w:rPr>
        <w:vertAlign w:val="baseline"/>
      </w:rPr>
    </w:lvl>
    <w:lvl w:ilvl="3">
      <w:start w:val="1"/>
      <w:numFmt w:val="decimal"/>
      <w:lvlText w:val="%4."/>
      <w:lvlJc w:val="left"/>
      <w:pPr>
        <w:ind w:left="4680" w:hanging="360"/>
      </w:pPr>
      <w:rPr>
        <w:vertAlign w:val="baseline"/>
      </w:rPr>
    </w:lvl>
    <w:lvl w:ilvl="4">
      <w:start w:val="1"/>
      <w:numFmt w:val="lowerLetter"/>
      <w:lvlText w:val="%5."/>
      <w:lvlJc w:val="left"/>
      <w:pPr>
        <w:ind w:left="5400" w:hanging="360"/>
      </w:pPr>
      <w:rPr>
        <w:vertAlign w:val="baseline"/>
      </w:rPr>
    </w:lvl>
    <w:lvl w:ilvl="5">
      <w:start w:val="1"/>
      <w:numFmt w:val="lowerRoman"/>
      <w:lvlText w:val="%6."/>
      <w:lvlJc w:val="right"/>
      <w:pPr>
        <w:ind w:left="6120" w:hanging="180"/>
      </w:pPr>
      <w:rPr>
        <w:vertAlign w:val="baseline"/>
      </w:rPr>
    </w:lvl>
    <w:lvl w:ilvl="6">
      <w:start w:val="1"/>
      <w:numFmt w:val="decimal"/>
      <w:lvlText w:val="%7."/>
      <w:lvlJc w:val="left"/>
      <w:pPr>
        <w:ind w:left="6840" w:hanging="360"/>
      </w:pPr>
      <w:rPr>
        <w:vertAlign w:val="baseline"/>
      </w:rPr>
    </w:lvl>
    <w:lvl w:ilvl="7">
      <w:start w:val="1"/>
      <w:numFmt w:val="lowerLetter"/>
      <w:lvlText w:val="%8."/>
      <w:lvlJc w:val="left"/>
      <w:pPr>
        <w:ind w:left="7560" w:hanging="360"/>
      </w:pPr>
      <w:rPr>
        <w:vertAlign w:val="baseline"/>
      </w:rPr>
    </w:lvl>
    <w:lvl w:ilvl="8">
      <w:start w:val="1"/>
      <w:numFmt w:val="lowerRoman"/>
      <w:lvlText w:val="%9."/>
      <w:lvlJc w:val="right"/>
      <w:pPr>
        <w:ind w:left="8280" w:hanging="180"/>
      </w:pPr>
      <w:rPr>
        <w:vertAlign w:val="baseline"/>
      </w:rPr>
    </w:lvl>
  </w:abstractNum>
  <w:abstractNum w:abstractNumId="4">
    <w:lvl w:ilvl="0">
      <w:start w:val="7"/>
      <w:numFmt w:val="bullet"/>
      <w:lvlText w:val="●"/>
      <w:lvlJc w:val="left"/>
      <w:pPr>
        <w:ind w:left="1126" w:hanging="397.0000000000001"/>
      </w:pPr>
      <w:rPr>
        <w:rFonts w:ascii="Noto Sans Symbols" w:cs="Noto Sans Symbols" w:eastAsia="Noto Sans Symbols" w:hAnsi="Noto Sans Symbols"/>
        <w:vertAlign w:val="baseline"/>
      </w:rPr>
    </w:lvl>
    <w:lvl w:ilvl="1">
      <w:start w:val="1"/>
      <w:numFmt w:val="bullet"/>
      <w:lvlText w:val="o"/>
      <w:lvlJc w:val="left"/>
      <w:pPr>
        <w:ind w:left="2169" w:hanging="360"/>
      </w:pPr>
      <w:rPr>
        <w:rFonts w:ascii="Courier New" w:cs="Courier New" w:eastAsia="Courier New" w:hAnsi="Courier New"/>
        <w:vertAlign w:val="baseline"/>
      </w:rPr>
    </w:lvl>
    <w:lvl w:ilvl="2">
      <w:start w:val="1"/>
      <w:numFmt w:val="bullet"/>
      <w:lvlText w:val="▪"/>
      <w:lvlJc w:val="left"/>
      <w:pPr>
        <w:ind w:left="2889" w:hanging="360"/>
      </w:pPr>
      <w:rPr>
        <w:rFonts w:ascii="Noto Sans Symbols" w:cs="Noto Sans Symbols" w:eastAsia="Noto Sans Symbols" w:hAnsi="Noto Sans Symbols"/>
        <w:vertAlign w:val="baseline"/>
      </w:rPr>
    </w:lvl>
    <w:lvl w:ilvl="3">
      <w:start w:val="1"/>
      <w:numFmt w:val="bullet"/>
      <w:lvlText w:val="●"/>
      <w:lvlJc w:val="left"/>
      <w:pPr>
        <w:ind w:left="3609" w:hanging="360"/>
      </w:pPr>
      <w:rPr>
        <w:rFonts w:ascii="Noto Sans Symbols" w:cs="Noto Sans Symbols" w:eastAsia="Noto Sans Symbols" w:hAnsi="Noto Sans Symbols"/>
        <w:vertAlign w:val="baseline"/>
      </w:rPr>
    </w:lvl>
    <w:lvl w:ilvl="4">
      <w:start w:val="1"/>
      <w:numFmt w:val="bullet"/>
      <w:lvlText w:val="o"/>
      <w:lvlJc w:val="left"/>
      <w:pPr>
        <w:ind w:left="4329" w:hanging="360"/>
      </w:pPr>
      <w:rPr>
        <w:rFonts w:ascii="Courier New" w:cs="Courier New" w:eastAsia="Courier New" w:hAnsi="Courier New"/>
        <w:vertAlign w:val="baseline"/>
      </w:rPr>
    </w:lvl>
    <w:lvl w:ilvl="5">
      <w:start w:val="1"/>
      <w:numFmt w:val="bullet"/>
      <w:lvlText w:val="▪"/>
      <w:lvlJc w:val="left"/>
      <w:pPr>
        <w:ind w:left="5049" w:hanging="360"/>
      </w:pPr>
      <w:rPr>
        <w:rFonts w:ascii="Noto Sans Symbols" w:cs="Noto Sans Symbols" w:eastAsia="Noto Sans Symbols" w:hAnsi="Noto Sans Symbols"/>
        <w:vertAlign w:val="baseline"/>
      </w:rPr>
    </w:lvl>
    <w:lvl w:ilvl="6">
      <w:start w:val="1"/>
      <w:numFmt w:val="bullet"/>
      <w:lvlText w:val="●"/>
      <w:lvlJc w:val="left"/>
      <w:pPr>
        <w:ind w:left="5769" w:hanging="360"/>
      </w:pPr>
      <w:rPr>
        <w:rFonts w:ascii="Noto Sans Symbols" w:cs="Noto Sans Symbols" w:eastAsia="Noto Sans Symbols" w:hAnsi="Noto Sans Symbols"/>
        <w:vertAlign w:val="baseline"/>
      </w:rPr>
    </w:lvl>
    <w:lvl w:ilvl="7">
      <w:start w:val="1"/>
      <w:numFmt w:val="bullet"/>
      <w:lvlText w:val="o"/>
      <w:lvlJc w:val="left"/>
      <w:pPr>
        <w:ind w:left="6489" w:hanging="360"/>
      </w:pPr>
      <w:rPr>
        <w:rFonts w:ascii="Courier New" w:cs="Courier New" w:eastAsia="Courier New" w:hAnsi="Courier New"/>
        <w:vertAlign w:val="baseline"/>
      </w:rPr>
    </w:lvl>
    <w:lvl w:ilvl="8">
      <w:start w:val="1"/>
      <w:numFmt w:val="bullet"/>
      <w:lvlText w:val="▪"/>
      <w:lvlJc w:val="left"/>
      <w:pPr>
        <w:ind w:left="7209" w:hanging="360"/>
      </w:pPr>
      <w:rPr>
        <w:rFonts w:ascii="Noto Sans Symbols" w:cs="Noto Sans Symbols" w:eastAsia="Noto Sans Symbols" w:hAnsi="Noto Sans Symbols"/>
        <w:vertAlign w:val="baseline"/>
      </w:rPr>
    </w:lvl>
  </w:abstractNum>
  <w:abstractNum w:abstractNumId="5">
    <w:lvl w:ilvl="0">
      <w:start w:val="1"/>
      <w:numFmt w:val="decimal"/>
      <w:lvlText w:val="%1."/>
      <w:lvlJc w:val="left"/>
      <w:pPr>
        <w:ind w:left="360" w:hanging="360"/>
      </w:pPr>
      <w:rPr>
        <w:sz w:val="32"/>
        <w:szCs w:val="32"/>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lvl w:ilvl="0">
      <w:start w:val="1"/>
      <w:numFmt w:val="lowerLetter"/>
      <w:lvlText w:val="%1."/>
      <w:lvlJc w:val="left"/>
      <w:pPr>
        <w:ind w:left="720" w:hanging="360"/>
      </w:pPr>
      <w:rPr>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sz w:val="24"/>
      <w:szCs w:val="24"/>
      <w:vertAlign w:val="baseline"/>
    </w:rPr>
  </w:style>
  <w:style w:type="paragraph" w:styleId="Heading2">
    <w:name w:val="heading 2"/>
    <w:basedOn w:val="Normal"/>
    <w:next w:val="Normal"/>
    <w:pPr>
      <w:keepNext w:val="1"/>
      <w:jc w:val="center"/>
    </w:pPr>
    <w:rPr>
      <w:rFonts w:ascii="Arial" w:cs="Arial" w:eastAsia="Arial" w:hAnsi="Arial"/>
      <w:b w:val="1"/>
      <w:sz w:val="20"/>
      <w:szCs w:val="20"/>
      <w:vertAlign w:val="baseline"/>
    </w:rPr>
  </w:style>
  <w:style w:type="paragraph" w:styleId="Heading3">
    <w:name w:val="heading 3"/>
    <w:basedOn w:val="Normal"/>
    <w:next w:val="Normal"/>
    <w:pPr>
      <w:keepNext w:val="1"/>
      <w:jc w:val="center"/>
    </w:pPr>
    <w:rPr>
      <w:rFonts w:ascii="Arial" w:cs="Arial" w:eastAsia="Arial" w:hAnsi="Arial"/>
      <w:sz w:val="40"/>
      <w:szCs w:val="40"/>
      <w:vertAlign w:val="baseline"/>
    </w:rPr>
  </w:style>
  <w:style w:type="paragraph" w:styleId="Heading4">
    <w:name w:val="heading 4"/>
    <w:basedOn w:val="Normal"/>
    <w:next w:val="Normal"/>
    <w:pPr>
      <w:keepNext w:val="1"/>
    </w:pPr>
    <w:rPr>
      <w:rFonts w:ascii="Arial" w:cs="Arial" w:eastAsia="Arial" w:hAnsi="Arial"/>
      <w:b w:val="1"/>
      <w:i w:val="1"/>
      <w:sz w:val="22"/>
      <w:szCs w:val="22"/>
      <w:vertAlign w:val="baseline"/>
    </w:rPr>
  </w:style>
  <w:style w:type="paragraph" w:styleId="Heading5">
    <w:name w:val="heading 5"/>
    <w:basedOn w:val="Normal"/>
    <w:next w:val="Normal"/>
    <w:pPr>
      <w:keepNext w:val="1"/>
      <w:jc w:val="right"/>
    </w:pPr>
    <w:rPr>
      <w:rFonts w:ascii="Arial" w:cs="Arial" w:eastAsia="Arial" w:hAnsi="Arial"/>
      <w:b w:val="1"/>
      <w:sz w:val="22"/>
      <w:szCs w:val="22"/>
      <w:vertAlign w:val="baseline"/>
    </w:rPr>
  </w:style>
  <w:style w:type="paragraph" w:styleId="Heading6">
    <w:name w:val="heading 6"/>
    <w:basedOn w:val="Normal"/>
    <w:next w:val="Normal"/>
    <w:pPr>
      <w:keepNext w:val="1"/>
      <w:jc w:val="center"/>
    </w:pPr>
    <w:rPr>
      <w:rFonts w:ascii="Arial" w:cs="Arial" w:eastAsia="Arial" w:hAnsi="Arial"/>
      <w:b w:val="1"/>
      <w:sz w:val="22"/>
      <w:szCs w:val="22"/>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rFonts w:ascii="Arial" w:hAnsi="Arial"/>
      <w:b w:val="1"/>
      <w:w w:val="100"/>
      <w:position w:val="-1"/>
      <w:sz w:val="24"/>
      <w:szCs w:val="24"/>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1"/>
    </w:pPr>
    <w:rPr>
      <w:rFonts w:ascii="Arial" w:hAnsi="Arial"/>
      <w:b w:val="1"/>
      <w:w w:val="100"/>
      <w:position w:val="-1"/>
      <w:sz w:val="20"/>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Arial" w:hAnsi="Arial"/>
      <w:w w:val="100"/>
      <w:position w:val="-1"/>
      <w:sz w:val="40"/>
      <w:szCs w:val="24"/>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hAnsi="Arial"/>
      <w:b w:val="1"/>
      <w:i w:val="1"/>
      <w:w w:val="100"/>
      <w:position w:val="-1"/>
      <w:sz w:val="22"/>
      <w:szCs w:val="24"/>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spacing w:line="1" w:lineRule="atLeast"/>
      <w:ind w:leftChars="-1" w:rightChars="0" w:firstLineChars="-1"/>
      <w:jc w:val="right"/>
      <w:textDirection w:val="btLr"/>
      <w:textAlignment w:val="top"/>
      <w:outlineLvl w:val="4"/>
    </w:pPr>
    <w:rPr>
      <w:rFonts w:ascii="Arial" w:hAnsi="Arial"/>
      <w:b w:val="1"/>
      <w:w w:val="100"/>
      <w:position w:val="-1"/>
      <w:sz w:val="22"/>
      <w:szCs w:val="24"/>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5"/>
    </w:pPr>
    <w:rPr>
      <w:rFonts w:ascii="Arial" w:hAnsi="Arial"/>
      <w:b w:val="1"/>
      <w:w w:val="100"/>
      <w:position w:val="-1"/>
      <w:sz w:val="22"/>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cs="Arial" w:hAnsi="Arial"/>
      <w:b w:val="1"/>
      <w:bCs w:val="1"/>
      <w:w w:val="100"/>
      <w:position w:val="-1"/>
      <w:sz w:val="22"/>
      <w:szCs w:val="24"/>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cs="Arial" w:hAnsi="Arial"/>
      <w:w w:val="100"/>
      <w:position w:val="-1"/>
      <w:sz w:val="22"/>
      <w:szCs w:val="22"/>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w w:val="100"/>
      <w:position w:val="-1"/>
      <w:sz w:val="20"/>
      <w:szCs w:val="24"/>
      <w:effect w:val="none"/>
      <w:vertAlign w:val="baseline"/>
      <w:cs w:val="0"/>
      <w:em w:val="none"/>
      <w:lang w:bidi="ar-SA" w:eastAsia="en-US" w:val="en-GB"/>
    </w:rPr>
  </w:style>
  <w:style w:type="paragraph" w:styleId="BodyText3">
    <w:name w:val="Body Text 3"/>
    <w:basedOn w:val="Normal"/>
    <w:next w:val="BodyText3"/>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b w:val="1"/>
      <w:w w:val="100"/>
      <w:position w:val="-1"/>
      <w:sz w:val="20"/>
      <w:szCs w:val="24"/>
      <w:effect w:val="none"/>
      <w:vertAlign w:val="baseline"/>
      <w:cs w:val="0"/>
      <w:em w:val="none"/>
      <w:lang w:bidi="ar-SA" w:eastAsia="en-US" w:val="en-GB"/>
    </w:rPr>
  </w:style>
  <w:style w:type="character" w:styleId="sedmaintext">
    <w:name w:val="sedmaintext"/>
    <w:basedOn w:val="DefaultParagraphFont"/>
    <w:next w:val="sedmaintext"/>
    <w:autoRedefine w:val="0"/>
    <w:hidden w:val="0"/>
    <w:qFormat w:val="0"/>
    <w:rPr>
      <w:w w:val="100"/>
      <w:position w:val="-1"/>
      <w:effect w:val="none"/>
      <w:vertAlign w:val="baseline"/>
      <w:cs w:val="0"/>
      <w:em w:val="none"/>
      <w:lang/>
    </w:rPr>
  </w:style>
  <w:style w:type="paragraph" w:styleId="BodyTextIndent">
    <w:name w:val="Body Text Indent"/>
    <w:basedOn w:val="Normal"/>
    <w:next w:val="BodyTextIndent"/>
    <w:autoRedefine w:val="0"/>
    <w:hidden w:val="0"/>
    <w:qFormat w:val="0"/>
    <w:pPr>
      <w:suppressAutoHyphens w:val="1"/>
      <w:spacing w:after="192" w:line="1" w:lineRule="atLeast"/>
      <w:ind w:left="150"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Segoe UI" w:cs="Segoe UI" w:hAnsi="Segoe UI"/>
      <w:w w:val="100"/>
      <w:position w:val="-1"/>
      <w:sz w:val="18"/>
      <w:szCs w:val="18"/>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Segoe UI" w:cs="Segoe UI" w:hAnsi="Segoe UI"/>
      <w:w w:val="100"/>
      <w:position w:val="-1"/>
      <w:sz w:val="18"/>
      <w:szCs w:val="18"/>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deIuOyCeZKIIt46lokfZW7DB+Q==">CgMxLjA4AHIhMWNKZkpTY1puMElaQndZQU5ITnRscUFzWjcxbzV0dTV6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2023-09-18T14:03:00Z</dcterms:created>
  <dc:creator>Caroline Smith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